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9c0b670362824074" /><Relationship Type="http://schemas.openxmlformats.org/officeDocument/2006/relationships/extended-properties" Target="/docProps/app.xml" Id="R79ef76ff7d9a49b3" /><Relationship Type="http://schemas.openxmlformats.org/package/2006/relationships/metadata/core-properties" Target="/package/services/metadata/core-properties/d6168c438b4742efadc1c9f4dd1963e8.psmdcp" Id="Rdb34747cc9c7452f" /></Relationships>
</file>

<file path=word/document.xml><?xml version="1.0" encoding="utf-8"?>
<w:document xmlns:w="http://schemas.openxmlformats.org/wordprocessingml/2006/main">
  <w:body>
    <w:sectPr>
      <w:pgSz w:w="11906" w:h="16838"/>
      <w:pgMar w:top="1134" w:right="567" w:bottom="1134" w:left="1701" w:header="708" w:footer="708" w:gutter="0"/>
      <w:footerReference xmlns:r="http://schemas.openxmlformats.org/officeDocument/2006/relationships" w:type="default" r:id="R3480537ae8cc4a46"/>
    </w:sectPr>
    <w:p>
      <w:pPr>
        <w:jc w:val="center"/>
        <w:spacing w:after="240"/>
        <w:outlineLvl w:val="0"/>
      </w:pPr>
      <w:r>
        <w:rPr>
          <w:rFonts w:ascii="Times New Roman" w:hAnsi="Times New Roman"/>
          <w:b/>
          <w:sz w:val="32"/>
        </w:rPr>
        <w:t xml:space="preserve">Реконструкция узла нейтрализации и утилизации сероводорода на установке: выбор схемы (Claus/SCOT/аминовая) и расчёт выбросов</w:t>
      </w:r>
    </w:p>
    <w:p>
      <w:r>
        <w:t/>
      </w:r>
    </w:p>
    <w:p>
      <w:pPr>
        <w:jc w:val="center"/>
        <w:spacing w:after="240"/>
      </w:pPr>
      <w:r>
        <w:rPr>
          <w:rFonts w:ascii="Times New Roman" w:hAnsi="Times New Roman"/>
          <w:b/>
          <w:sz w:val="28"/>
        </w:rPr>
        <w:t>СОДЕРЖАНИЕ</w:t>
      </w:r>
    </w:p>
    <w:p>
      <w:r>
        <w:fldChar w:fldCharType="begin"/>
      </w:r>
      <w:r>
        <w:instrText xml:space="preserve"> TOC \o "1-2" \h \z \u </w:instrText>
      </w:r>
      <w:r>
        <w:fldChar w:fldCharType="separate"/>
      </w:r>
    </w:p>
    <w:p>
      <w:pPr>
        <w:pStyle w:val="TOC1"/>
        <w:ind w:left="0"/>
      </w:pPr>
      <w:r>
        <w:t>Введение</w:t>
      </w:r>
    </w:p>
    <w:p>
      <w:pPr>
        <w:pStyle w:val="TOC2"/>
        <w:ind w:left="360"/>
      </w:pPr>
      <w:r>
        <w:t>Цель и задачи работы</w:t>
      </w:r>
    </w:p>
    <w:p>
      <w:pPr>
        <w:pStyle w:val="TOC2"/>
        <w:ind w:left="360"/>
      </w:pPr>
      <w:r>
        <w:t>Объект и предмет исследования</w:t>
      </w:r>
    </w:p>
    <w:p>
      <w:pPr>
        <w:pStyle w:val="TOC2"/>
        <w:ind w:left="360"/>
      </w:pPr>
      <w:r>
        <w:t>Методы исследования</w:t>
      </w:r>
    </w:p>
    <w:p>
      <w:pPr>
        <w:pStyle w:val="TOC1"/>
        <w:ind w:left="0"/>
      </w:pPr>
      <w:r>
        <w:t>Характеристика производства и анализ существующей системы утилизации сероводорода</w:t>
      </w:r>
    </w:p>
    <w:p>
      <w:pPr>
        <w:pStyle w:val="TOC2"/>
        <w:ind w:left="360"/>
      </w:pPr>
      <w:r>
        <w:t>Общая характеристика предприятия и технологического процесса</w:t>
      </w:r>
    </w:p>
    <w:p>
      <w:pPr>
        <w:pStyle w:val="TOC2"/>
        <w:ind w:left="360"/>
      </w:pPr>
      <w:r>
        <w:t>Источники образования сероводородсодержащих газов</w:t>
      </w:r>
    </w:p>
    <w:p>
      <w:pPr>
        <w:pStyle w:val="TOC2"/>
        <w:ind w:left="360"/>
      </w:pPr>
      <w:r>
        <w:t>Характеристика существующего узла нейтрализации сероводорода</w:t>
      </w:r>
    </w:p>
    <w:p>
      <w:pPr>
        <w:pStyle w:val="TOC2"/>
        <w:ind w:left="360"/>
      </w:pPr>
      <w:r>
        <w:t>Анализ недостатков действующей системы</w:t>
      </w:r>
    </w:p>
    <w:p>
      <w:pPr>
        <w:pStyle w:val="TOC2"/>
        <w:ind w:left="360"/>
      </w:pPr>
      <w:r>
        <w:t>Экологические и санитарно-гигиенические требования</w:t>
      </w:r>
    </w:p>
    <w:p>
      <w:pPr>
        <w:pStyle w:val="TOC2"/>
        <w:ind w:left="360"/>
      </w:pPr>
      <w:r>
        <w:t>Обоснование необходимости реконструкции</w:t>
      </w:r>
    </w:p>
    <w:p>
      <w:pPr>
        <w:pStyle w:val="TOC1"/>
        <w:ind w:left="0"/>
      </w:pPr>
      <w:r>
        <w:t>Обзор и сравнительный анализ технологий утилизации сероводорода</w:t>
      </w:r>
    </w:p>
    <w:p>
      <w:pPr>
        <w:pStyle w:val="TOC2"/>
        <w:ind w:left="360"/>
      </w:pPr>
      <w:r>
        <w:t>Процесс Клауса: принцип работы, модификации и области применения</w:t>
      </w:r>
    </w:p>
    <w:p>
      <w:pPr>
        <w:pStyle w:val="TOC2"/>
        <w:ind w:left="360"/>
      </w:pPr>
      <w:r>
        <w:t>Технология SCOT: описание процесса и технологические особенности</w:t>
      </w:r>
    </w:p>
    <w:p>
      <w:pPr>
        <w:pStyle w:val="TOC2"/>
        <w:ind w:left="360"/>
      </w:pPr>
      <w:r>
        <w:t>Аминовая очистка газов: типы абсорбентов и схемы реализации</w:t>
      </w:r>
    </w:p>
    <w:p>
      <w:pPr>
        <w:pStyle w:val="TOC2"/>
        <w:ind w:left="360"/>
      </w:pPr>
      <w:r>
        <w:t>Комбинированные схемы утилизации сероводорода</w:t>
      </w:r>
    </w:p>
    <w:p>
      <w:pPr>
        <w:pStyle w:val="TOC2"/>
        <w:ind w:left="360"/>
      </w:pPr>
      <w:r>
        <w:t>Сравнительный анализ технологий по технико-экономическим показателям</w:t>
      </w:r>
    </w:p>
    <w:p>
      <w:pPr>
        <w:pStyle w:val="TOC2"/>
        <w:ind w:left="360"/>
      </w:pPr>
      <w:r>
        <w:t>Анализ эффективности очистки и экологических показателей</w:t>
      </w:r>
    </w:p>
    <w:p>
      <w:pPr>
        <w:pStyle w:val="TOC1"/>
        <w:ind w:left="0"/>
      </w:pPr>
      <w:r>
        <w:t>Выбор и обоснование оптимальной схемы реконструкции узла утилизации</w:t>
      </w:r>
    </w:p>
    <w:p>
      <w:pPr>
        <w:pStyle w:val="TOC2"/>
        <w:ind w:left="360"/>
      </w:pPr>
      <w:r>
        <w:t>Критерии выбора технологической схемы</w:t>
      </w:r>
    </w:p>
    <w:p>
      <w:pPr>
        <w:pStyle w:val="TOC2"/>
        <w:ind w:left="360"/>
      </w:pPr>
      <w:r>
        <w:t>Анализ состава и объемов сероводородсодержащих газов</w:t>
      </w:r>
    </w:p>
    <w:p>
      <w:pPr>
        <w:pStyle w:val="TOC2"/>
        <w:ind w:left="360"/>
      </w:pPr>
      <w:r>
        <w:t>Оценка применимости различных технологий для конкретных условий</w:t>
      </w:r>
    </w:p>
    <w:p>
      <w:pPr>
        <w:pStyle w:val="TOC2"/>
        <w:ind w:left="360"/>
      </w:pPr>
      <w:r>
        <w:t>Многокритериальный анализ вариантов реконструкции</w:t>
      </w:r>
    </w:p>
    <w:p>
      <w:pPr>
        <w:pStyle w:val="TOC2"/>
        <w:ind w:left="360"/>
      </w:pPr>
      <w:r>
        <w:t>Выбор оптимальной технологической схемы</w:t>
      </w:r>
    </w:p>
    <w:p>
      <w:pPr>
        <w:pStyle w:val="TOC2"/>
        <w:ind w:left="360"/>
      </w:pPr>
      <w:r>
        <w:t>Описание принятой схемы и её технологические преимущества</w:t>
      </w:r>
    </w:p>
    <w:p>
      <w:pPr>
        <w:pStyle w:val="TOC1"/>
        <w:ind w:left="0"/>
      </w:pPr>
      <w:r>
        <w:t>Технологический расчет реконструируемого узла утилизации сероводорода</w:t>
      </w:r>
    </w:p>
    <w:p>
      <w:pPr>
        <w:pStyle w:val="TOC2"/>
        <w:ind w:left="360"/>
      </w:pPr>
      <w:r>
        <w:t>Материальный баланс процесса утилизации</w:t>
      </w:r>
    </w:p>
    <w:p>
      <w:pPr>
        <w:pStyle w:val="TOC2"/>
        <w:ind w:left="360"/>
      </w:pPr>
      <w:r>
        <w:t>Тепловой баланс основных аппаратов</w:t>
      </w:r>
    </w:p>
    <w:p>
      <w:pPr>
        <w:pStyle w:val="TOC2"/>
        <w:ind w:left="360"/>
      </w:pPr>
      <w:r>
        <w:t>Расчет основного технологического оборудования</w:t>
      </w:r>
    </w:p>
    <w:p>
      <w:pPr>
        <w:pStyle w:val="TOC2"/>
        <w:ind w:left="360"/>
      </w:pPr>
      <w:r>
        <w:t>Гидравлический расчет системы</w:t>
      </w:r>
    </w:p>
    <w:p>
      <w:pPr>
        <w:pStyle w:val="TOC2"/>
        <w:ind w:left="360"/>
      </w:pPr>
      <w:r>
        <w:t>Подбор вспомогательного оборудования</w:t>
      </w:r>
    </w:p>
    <w:p>
      <w:pPr>
        <w:pStyle w:val="TOC2"/>
        <w:ind w:left="360"/>
      </w:pPr>
      <w:r>
        <w:t>Расчет потребности в энергоресурсах</w:t>
      </w:r>
    </w:p>
    <w:p>
      <w:pPr>
        <w:pStyle w:val="TOC1"/>
        <w:ind w:left="0"/>
      </w:pPr>
      <w:r>
        <w:t>Расчет выбросов загрязняющих веществ и оценка воздействия на окружающую среду</w:t>
      </w:r>
    </w:p>
    <w:p>
      <w:pPr>
        <w:pStyle w:val="TOC2"/>
        <w:ind w:left="360"/>
      </w:pPr>
      <w:r>
        <w:t>Методика расчета выбросов загрязняющих веществ</w:t>
      </w:r>
    </w:p>
    <w:p>
      <w:pPr>
        <w:pStyle w:val="TOC2"/>
        <w:ind w:left="360"/>
      </w:pPr>
      <w:r>
        <w:t>Расчет выбросов до реконструкции</w:t>
      </w:r>
    </w:p>
    <w:p>
      <w:pPr>
        <w:pStyle w:val="TOC2"/>
        <w:ind w:left="360"/>
      </w:pPr>
      <w:r>
        <w:t>Расчет выбросов после реконструкции</w:t>
      </w:r>
    </w:p>
    <w:p>
      <w:pPr>
        <w:pStyle w:val="TOC2"/>
        <w:ind w:left="360"/>
      </w:pPr>
      <w:r>
        <w:t>Сравнительный анализ выбросов и оценка эффекта реконструкции</w:t>
      </w:r>
    </w:p>
    <w:p>
      <w:pPr>
        <w:pStyle w:val="TOC2"/>
        <w:ind w:left="360"/>
      </w:pPr>
      <w:r>
        <w:t>Расчет рассеивания загрязняющих веществ в атмосфере</w:t>
      </w:r>
    </w:p>
    <w:p>
      <w:pPr>
        <w:pStyle w:val="TOC1"/>
        <w:ind w:left="0"/>
      </w:pPr>
      <w:r>
        <w:t>Экономическая эффективность реконструкции</w:t>
      </w:r>
    </w:p>
    <w:p>
      <w:pPr>
        <w:pStyle w:val="TOC2"/>
        <w:ind w:left="360"/>
      </w:pPr>
      <w:r>
        <w:t>Расчет капитальных затрат на реконструкцию</w:t>
      </w:r>
    </w:p>
    <w:p>
      <w:pPr>
        <w:pStyle w:val="TOC2"/>
        <w:ind w:left="360"/>
      </w:pPr>
      <w:r>
        <w:t>Расчет эксплуатационных затрат</w:t>
      </w:r>
    </w:p>
    <w:p>
      <w:pPr>
        <w:pStyle w:val="TOC2"/>
        <w:ind w:left="360"/>
      </w:pPr>
      <w:r>
        <w:t>Оценка экономического эффекта от снижения выбросов</w:t>
      </w:r>
    </w:p>
    <w:p>
      <w:pPr>
        <w:pStyle w:val="TOC2"/>
        <w:ind w:left="360"/>
      </w:pPr>
      <w:r>
        <w:t>Расчет срока окупаемости проекта</w:t>
      </w:r>
    </w:p>
    <w:p>
      <w:pPr>
        <w:pStyle w:val="TOC1"/>
        <w:ind w:left="0"/>
      </w:pPr>
      <w:r>
        <w:t>Безопасность и экологичность проекта</w:t>
      </w:r>
    </w:p>
    <w:p>
      <w:pPr>
        <w:pStyle w:val="TOC2"/>
        <w:ind w:left="360"/>
      </w:pPr>
      <w:r>
        <w:t>Анализ опасных и вредных производственных факторов</w:t>
      </w:r>
    </w:p>
    <w:p>
      <w:pPr>
        <w:pStyle w:val="TOC2"/>
        <w:ind w:left="360"/>
      </w:pPr>
      <w:r>
        <w:t>Мероприятия по обеспечению промышленной безопасности</w:t>
      </w:r>
    </w:p>
    <w:p>
      <w:pPr>
        <w:pStyle w:val="TOC2"/>
        <w:ind w:left="360"/>
      </w:pPr>
      <w:r>
        <w:t>Природоохранные мероприятия</w:t>
      </w:r>
    </w:p>
    <w:p>
      <w:pPr>
        <w:pStyle w:val="TOC1"/>
        <w:ind w:left="0"/>
      </w:pPr>
      <w:r>
        <w:t>Заключение</w:t>
      </w:r>
    </w:p>
    <w:p>
      <w:pPr>
        <w:pStyle w:val="TOC2"/>
        <w:ind w:left="360"/>
      </w:pPr>
      <w:r>
        <w:t>Основные результаты работы</w:t>
      </w:r>
    </w:p>
    <w:p>
      <w:pPr>
        <w:pStyle w:val="TOC2"/>
        <w:ind w:left="360"/>
      </w:pPr>
      <w:r>
        <w:t>Выводы и рекомендации</w:t>
      </w:r>
    </w:p>
    <w:p>
      <w:pPr>
        <w:pStyle w:val="TOC1"/>
        <w:ind w:left="0"/>
      </w:pPr>
      <w:r>
        <w:t>Список использованных источников</w:t>
      </w:r>
    </w:p>
    <w:p>
      <w:r>
        <w:fldChar w:fldCharType="end"/>
      </w:r>
    </w:p>
    <w:p>
      <w:r>
        <w:t/>
      </w:r>
    </w:p>
    <w:p>
      <w:r>
        <w:br w:type="page"/>
      </w:r>
    </w:p>
    <w:p>
      <w:pPr>
        <w:pStyle w:val="Heading1"/>
        <w:jc w:val="center"/>
        <w:spacing w:before="240" w:after="240"/>
      </w:pPr>
      <w:r>
        <w:rPr>
          <w:rFonts w:ascii="Times New Roman" w:hAnsi="Times New Roman"/>
          <w:b/>
          <w:sz w:val="28"/>
        </w:rPr>
        <w:t xml:space="preserve">ВВЕДЕНИЕ</w:t>
      </w:r>
    </w:p>
    <w:p>
      <w:pPr>
        <w:jc w:val="both"/>
        <w:ind w:firstLine="708"/>
        <w:spacing w:line="360" w:lineRule="auto"/>
      </w:pPr>
      <w:r>
        <w:rPr>
          <w:rFonts w:ascii="Times New Roman" w:hAnsi="Times New Roman"/>
          <w:sz w:val="28"/>
        </w:rPr>
        <w:t xml:space="preserve">Сероводород (H₂S) представляет собой высокотоксичный и коррозионно-активный газ, который создаёт серьёзные риски для персонала, окружающей среды и оборудования в нефтегазовой промышленности. Предельно допустимая концентрация H₂S для человека составляет 15 ppm, превышение которой может привести к поражению нервной и сердечно-сосудистой систем. Концентрации в диапазоне 700-900 ppm способны вызвать потерю сознания и смерть в течение нескольких минут, в то время как уровни выше 1000 ppm могут быть летальными за считанные секунды</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Помимо воздействия на персонал, H₂S является одной из основных причин коррозионного разрушения оборудования в нефтегазовой отрасли. По некоторым оценкам, до 40% случаев коррозии в нефтяной промышленности связаны с сероводородной средой. Коррозия, вызванная H₂S, классифицируется на три основных типа: водородное растрескивание под напряжением (HIC), сульфидное коррозионное растрескивание (SSC) и стресс-ориентированное водородное растрескивание (SOHIC), каждое из которых может привести к серьёзным авариям и остановкам производства</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Одним из значительных источников выделения H₂S в нефтегазовой промышленности является процесс кислотной обработки скважин, используемый для стимуляции добычи нефти. В ходе этого процесса кислоты вступают в реакцию с сульфидами железа (FeS), присутствующими в пластах, что приводит к образованию сероводорода согласно реакции: FeS + 2H⁺ → Fe²⁺ + H₂S. Это создаёт дополнительные риски воздействия H₂S на персонал и оборудование в призабойной зоне скважины</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снижения этих рисков в промышленности применяются различные технологии нейтрализации и утилизации сероводорода. Среди наиболее распространённых методов выделяются процессы Claus, SCOT (Shell Claus Off-gas Treating) и аминовая очистка. Процесс Claus является классическим методом каталитического окисления H₂S до элементарной серы с эффективностью до 95-97%. Процесс SCOT представляет собой дополнительную ступень очистки хвостовых газов установки Claus, позволяющую достичь общей степени извлечения серы до 99,5-99,9%. Аминовые процессы основаны на абсорбции кислых газов растворами алканоламинов с последующей регенерацией абсорбента и могут применяться как самостоятельно, так и в комбинации с другими технологиями</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Выбор оптимальной схемы нейтрализации и утилизации сероводорода требует комплексного анализа множества факторов, включая состав и объём перерабатываемого газа, требования природоохранного законодательства к выбросам, экономическую эффективность, энергетические затраты и совместимость с существующей инфраструктурой предприятия. Кроме того, необходимо учитывать взаимодействие различных компонентов технологической схемы, включая влияние добавок, используемых в процессе обработки, на эффективность улавливания H₂S</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Актуальность данного исследования обусловлена необходимостью модернизации существующих узлов нейтрализации сероводорода на действующих установках с целью повышения их эффективности, снижения воздействия на окружающую среду и обеспечения соответствия современным экологическим стандартам. Реконструкция таких узлов требует тщательного технико-экономического обоснования выбора технологической схемы и точного расчёта ожидаемых выбросов загрязняющих веществ в атмосферу.</w:t>
      </w:r>
    </w:p>
    <w:p>
      <w:pPr>
        <w:pStyle w:val="Heading2"/>
        <w:spacing w:before="240" w:after="120"/>
      </w:pPr>
      <w:r>
        <w:rPr>
          <w:rFonts w:ascii="Times New Roman" w:hAnsi="Times New Roman"/>
          <w:b/>
          <w:sz w:val="28"/>
        </w:rPr>
        <w:t xml:space="preserve">Цель и задачи работы</w:t>
      </w:r>
    </w:p>
    <w:p>
      <w:pPr>
        <w:jc w:val="both"/>
        <w:ind w:firstLine="708"/>
        <w:spacing w:line="360" w:lineRule="auto"/>
      </w:pPr>
      <w:r>
        <w:rPr>
          <w:rFonts w:ascii="Times New Roman" w:hAnsi="Times New Roman"/>
          <w:sz w:val="28"/>
        </w:rPr>
        <w:t xml:space="preserve">Целью данной работы является разработка технического решения по реконструкции узла нейтрализации и утилизации сероводорода на действующей установке путём сравнительного анализа альтернативных технологических схем (Claus, SCOT, аминовая очистка) и выбора оптимального варианта с последующим расчётом выбросов загрязняющих веществ.</w:t>
      </w:r>
    </w:p>
    <w:p>
      <w:pPr>
        <w:jc w:val="both"/>
        <w:ind w:firstLine="708"/>
        <w:spacing w:line="360" w:lineRule="auto"/>
      </w:pPr>
      <w:r>
        <w:rPr>
          <w:rFonts w:ascii="Times New Roman" w:hAnsi="Times New Roman"/>
          <w:sz w:val="28"/>
        </w:rPr>
        <w:t xml:space="preserve">Для достижения поставленной цели необходимо решить следующие задачи:</w:t>
      </w:r>
    </w:p>
    <w:p>
      <w:pPr>
        <w:ind w:left="708" w:hanging="360"/>
        <w:spacing w:line="360"/>
      </w:pPr>
      <w:r>
        <w:rPr>
          <w:rFonts w:ascii="Times New Roman"/>
          <w:sz w:val="28"/>
        </w:rPr>
        <w:t>• </w:t>
      </w:r>
      <w:r>
        <w:rPr>
          <w:rFonts w:ascii="Times New Roman" w:hAnsi="Times New Roman"/>
          <w:sz w:val="28"/>
        </w:rPr>
        <w:t xml:space="preserve">Провести анализ существующего состояния узла нейтрализации сероводорода, выявить его недостатки и определить требования к реконструированной системе;</w:t>
      </w:r>
    </w:p>
    <w:p>
      <w:pPr>
        <w:ind w:left="708" w:hanging="360"/>
        <w:spacing w:line="360"/>
      </w:pPr>
      <w:r>
        <w:rPr>
          <w:rFonts w:ascii="Times New Roman"/>
          <w:sz w:val="28"/>
        </w:rPr>
        <w:t>• </w:t>
      </w:r>
      <w:r>
        <w:rPr>
          <w:rFonts w:ascii="Times New Roman" w:hAnsi="Times New Roman"/>
          <w:sz w:val="28"/>
        </w:rPr>
        <w:t xml:space="preserve">Выполнить обзор современных технологий нейтрализации и утилизации сероводорода (процессы Claus, SCOT, аминовая очистка), изучить их принципы работы, преимущества и ограничения;</w:t>
      </w:r>
    </w:p>
    <w:p>
      <w:pPr>
        <w:ind w:left="708" w:hanging="360"/>
        <w:spacing w:line="360"/>
      </w:pPr>
      <w:r>
        <w:rPr>
          <w:rFonts w:ascii="Times New Roman"/>
          <w:sz w:val="28"/>
        </w:rPr>
        <w:t>• </w:t>
      </w:r>
      <w:r>
        <w:rPr>
          <w:rFonts w:ascii="Times New Roman" w:hAnsi="Times New Roman"/>
          <w:sz w:val="28"/>
        </w:rPr>
        <w:t xml:space="preserve">Разработать критерии сравнения альтернативных технологических схем с учётом технических, экономических и экологических показателей;</w:t>
      </w:r>
    </w:p>
    <w:p>
      <w:pPr>
        <w:ind w:left="708" w:hanging="360"/>
        <w:spacing w:line="360"/>
      </w:pPr>
      <w:r>
        <w:rPr>
          <w:rFonts w:ascii="Times New Roman"/>
          <w:sz w:val="28"/>
        </w:rPr>
        <w:t>• </w:t>
      </w:r>
      <w:r>
        <w:rPr>
          <w:rFonts w:ascii="Times New Roman" w:hAnsi="Times New Roman"/>
          <w:sz w:val="28"/>
        </w:rPr>
        <w:t xml:space="preserve">Провести сравнительный анализ рассматриваемых технологических схем применительно к конкретным условиям эксплуатации установки;</w:t>
      </w:r>
    </w:p>
    <w:p>
      <w:pPr>
        <w:ind w:left="708" w:hanging="360"/>
        <w:spacing w:line="360"/>
      </w:pPr>
      <w:r>
        <w:rPr>
          <w:rFonts w:ascii="Times New Roman"/>
          <w:sz w:val="28"/>
        </w:rPr>
        <w:t>• </w:t>
      </w:r>
      <w:r>
        <w:rPr>
          <w:rFonts w:ascii="Times New Roman" w:hAnsi="Times New Roman"/>
          <w:sz w:val="28"/>
        </w:rPr>
        <w:t xml:space="preserve">Обосновать выбор оптимальной схемы нейтрализации и утилизации сероводорода на основе результатов сравнительного анализа;</w:t>
      </w:r>
    </w:p>
    <w:p>
      <w:pPr>
        <w:ind w:left="708" w:hanging="360"/>
        <w:spacing w:line="360"/>
      </w:pPr>
      <w:r>
        <w:rPr>
          <w:rFonts w:ascii="Times New Roman"/>
          <w:sz w:val="28"/>
        </w:rPr>
        <w:t>• </w:t>
      </w:r>
      <w:r>
        <w:rPr>
          <w:rFonts w:ascii="Times New Roman" w:hAnsi="Times New Roman"/>
          <w:sz w:val="28"/>
        </w:rPr>
        <w:t xml:space="preserve">Выполнить материальный баланс выбранной технологической схемы и рассчитать ожидаемые выбросы загрязняющих веществ в атмосферу;</w:t>
      </w:r>
    </w:p>
    <w:p>
      <w:pPr>
        <w:ind w:left="708" w:hanging="360"/>
        <w:spacing w:line="360"/>
      </w:pPr>
      <w:r>
        <w:rPr>
          <w:rFonts w:ascii="Times New Roman"/>
          <w:sz w:val="28"/>
        </w:rPr>
        <w:t>• </w:t>
      </w:r>
      <w:r>
        <w:rPr>
          <w:rFonts w:ascii="Times New Roman" w:hAnsi="Times New Roman"/>
          <w:sz w:val="28"/>
        </w:rPr>
        <w:t xml:space="preserve">Оценить соответствие проектных решений требованиям природоохранного законодательства и нормативам предельно допустимых выбросов.</w:t>
      </w:r>
    </w:p>
    <w:p>
      <w:pPr>
        <w:pStyle w:val="Heading2"/>
        <w:spacing w:before="240" w:after="120"/>
      </w:pPr>
      <w:r>
        <w:rPr>
          <w:rFonts w:ascii="Times New Roman" w:hAnsi="Times New Roman"/>
          <w:b/>
          <w:sz w:val="28"/>
        </w:rPr>
        <w:t xml:space="preserve">Объект и предмет исследования</w:t>
      </w:r>
    </w:p>
    <w:p>
      <w:pPr>
        <w:jc w:val="both"/>
        <w:ind w:firstLine="708"/>
        <w:spacing w:line="360" w:lineRule="auto"/>
      </w:pPr>
      <w:r>
        <w:rPr>
          <w:rFonts w:ascii="Times New Roman" w:hAnsi="Times New Roman"/>
          <w:sz w:val="28"/>
        </w:rPr>
        <w:t xml:space="preserve">Объектом исследования является узел нейтрализации и утилизации сероводорода на действующей промышленной установке нефтегазоперерабатывающего предприятия, требующий реконструкции в связи с необходимостью повышения эффективности улавливания H₂S и снижения воздействия на окружающую среду.</w:t>
      </w:r>
    </w:p>
    <w:p>
      <w:pPr>
        <w:jc w:val="both"/>
        <w:ind w:firstLine="708"/>
        <w:spacing w:line="360" w:lineRule="auto"/>
      </w:pPr>
      <w:r>
        <w:rPr>
          <w:rFonts w:ascii="Times New Roman" w:hAnsi="Times New Roman"/>
          <w:sz w:val="28"/>
        </w:rPr>
        <w:t xml:space="preserve">Предметом исследования выступают технологические процессы нейтрализации и утилизации сероводорода, реализуемые в рамках различных схем (Claus, SCOT, аминовая очистка), их технические характеристики, показатели эффективности, а также количественные и качественные параметры выбросов загрязняющих веществ, образующихся при работе этих систем.</w:t>
      </w:r>
    </w:p>
    <w:p>
      <w:pPr>
        <w:pStyle w:val="Heading2"/>
        <w:spacing w:before="240" w:after="120"/>
      </w:pPr>
      <w:r>
        <w:rPr>
          <w:rFonts w:ascii="Times New Roman" w:hAnsi="Times New Roman"/>
          <w:b/>
          <w:sz w:val="28"/>
        </w:rPr>
        <w:t xml:space="preserve">Методы исследования</w:t>
      </w:r>
    </w:p>
    <w:p>
      <w:pPr>
        <w:jc w:val="both"/>
        <w:ind w:firstLine="708"/>
        <w:spacing w:line="360" w:lineRule="auto"/>
      </w:pPr>
      <w:r>
        <w:rPr>
          <w:rFonts w:ascii="Times New Roman" w:hAnsi="Times New Roman"/>
          <w:sz w:val="28"/>
        </w:rPr>
        <w:t xml:space="preserve">Для решения поставленных задач в работе применяется комплекс методов исследования, включающий:</w:t>
      </w:r>
    </w:p>
    <w:p>
      <w:pPr>
        <w:ind w:left="708" w:hanging="360"/>
        <w:spacing w:line="360"/>
      </w:pPr>
      <w:r>
        <w:rPr>
          <w:rFonts w:ascii="Times New Roman"/>
          <w:sz w:val="28"/>
        </w:rPr>
        <w:t>• </w:t>
      </w:r>
      <w:r>
        <w:rPr>
          <w:rFonts w:ascii="Times New Roman" w:hAnsi="Times New Roman"/>
          <w:sz w:val="28"/>
        </w:rPr>
        <w:t xml:space="preserve">Анализ научно-технической литературы и патентной документации по технологиям нейтрализации и утилизации сероводорода для изучения современного состояния проблемы и выявления перспективных решений</w:t>
      </w:r>
      <w:hyperlink w:anchor="_Source_1">
        <w:r>
          <w:rPr>
            <w:rFonts w:ascii="Times New Roman" w:hAnsi="Times New Roman"/>
            <w:sz w:val="28"/>
            <w:rStyle w:val="Hyperlink"/>
          </w:rPr>
          <w:t>[1]</w:t>
        </w:r>
      </w:hyperlink>
      <w:r>
        <w:rPr>
          <w:rFonts w:ascii="Times New Roman" w:hAnsi="Times New Roman"/>
          <w:sz w:val="28"/>
        </w:rPr>
        <w:t xml:space="preserve">;</w:t>
      </w:r>
    </w:p>
    <w:p>
      <w:pPr>
        <w:ind w:left="708" w:hanging="360"/>
        <w:spacing w:line="360"/>
      </w:pPr>
      <w:r>
        <w:rPr>
          <w:rFonts w:ascii="Times New Roman"/>
          <w:sz w:val="28"/>
        </w:rPr>
        <w:t>• </w:t>
      </w:r>
      <w:r>
        <w:rPr>
          <w:rFonts w:ascii="Times New Roman" w:hAnsi="Times New Roman"/>
          <w:sz w:val="28"/>
        </w:rPr>
        <w:t xml:space="preserve">Сравнительный анализ альтернативных технологических схем по совокупности технических, экономических и экологических критериев для обоснования выбора оптимального варианта;</w:t>
      </w:r>
    </w:p>
    <w:p>
      <w:pPr>
        <w:ind w:left="708" w:hanging="360"/>
        <w:spacing w:line="360"/>
      </w:pPr>
      <w:r>
        <w:rPr>
          <w:rFonts w:ascii="Times New Roman"/>
          <w:sz w:val="28"/>
        </w:rPr>
        <w:t>• </w:t>
      </w:r>
      <w:r>
        <w:rPr>
          <w:rFonts w:ascii="Times New Roman" w:hAnsi="Times New Roman"/>
          <w:sz w:val="28"/>
        </w:rPr>
        <w:t xml:space="preserve">Методы материального и теплового балансов для расчёта параметров технологических потоков и определения характеристик оборудования выбранной схемы;</w:t>
      </w:r>
    </w:p>
    <w:p>
      <w:pPr>
        <w:ind w:left="708" w:hanging="360"/>
        <w:spacing w:line="360"/>
      </w:pPr>
      <w:r>
        <w:rPr>
          <w:rFonts w:ascii="Times New Roman"/>
          <w:sz w:val="28"/>
        </w:rPr>
        <w:t>• </w:t>
      </w:r>
      <w:r>
        <w:rPr>
          <w:rFonts w:ascii="Times New Roman" w:hAnsi="Times New Roman"/>
          <w:sz w:val="28"/>
        </w:rPr>
        <w:t xml:space="preserve">Методы расчёта выбросов загрязняющих веществ в атмосферу в соответствии с действующими нормативными документами и методиками для оценки воздействия проектируемого объекта на окружающую среду;</w:t>
      </w:r>
    </w:p>
    <w:p>
      <w:pPr>
        <w:ind w:left="708" w:hanging="360"/>
        <w:spacing w:line="360"/>
      </w:pPr>
      <w:r>
        <w:rPr>
          <w:rFonts w:ascii="Times New Roman"/>
          <w:sz w:val="28"/>
        </w:rPr>
        <w:t>• </w:t>
      </w:r>
      <w:r>
        <w:rPr>
          <w:rFonts w:ascii="Times New Roman" w:hAnsi="Times New Roman"/>
          <w:sz w:val="28"/>
        </w:rPr>
        <w:t xml:space="preserve">Методы технико-экономической оценки для сравнения капитальных и эксплуатационных затрат по различным вариантам реконструкции;</w:t>
      </w:r>
    </w:p>
    <w:p>
      <w:pPr>
        <w:ind w:left="708" w:hanging="360"/>
        <w:spacing w:line="360"/>
      </w:pPr>
      <w:r>
        <w:rPr>
          <w:rFonts w:ascii="Times New Roman"/>
          <w:sz w:val="28"/>
        </w:rPr>
        <w:t>• </w:t>
      </w:r>
      <w:r>
        <w:rPr>
          <w:rFonts w:ascii="Times New Roman" w:hAnsi="Times New Roman"/>
          <w:sz w:val="28"/>
        </w:rPr>
        <w:t xml:space="preserve">Анализ нормативно-правовой документации в области охраны окружающей среды для обеспечения соответствия проектных решений требованиям законодательства.</w:t>
      </w:r>
    </w:p>
    <w:p>
      <w:pPr>
        <w:jc w:val="both"/>
        <w:ind w:firstLine="708"/>
        <w:spacing w:line="360" w:lineRule="auto"/>
      </w:pPr>
      <w:r>
        <w:rPr>
          <w:rFonts w:ascii="Times New Roman" w:hAnsi="Times New Roman"/>
          <w:sz w:val="28"/>
        </w:rPr>
        <w:t xml:space="preserve">Применение данного комплекса методов позволит провести всесторонний анализ проблемы, обосновать выбор технологической схемы реконструкции узла нейтрализации сероводорода и выполнить необходимые расчёты для её практической реализации.</w:t>
      </w:r>
    </w:p>
    <w:p>
      <w:r>
        <w:t/>
      </w:r>
    </w:p>
    <w:p>
      <w:pPr>
        <w:pStyle w:val="Heading1"/>
        <w:jc w:val="center"/>
        <w:spacing w:before="240" w:after="240"/>
      </w:pPr>
      <w:r>
        <w:rPr>
          <w:rFonts w:ascii="Times New Roman" w:hAnsi="Times New Roman"/>
          <w:b/>
          <w:sz w:val="28"/>
        </w:rPr>
        <w:t xml:space="preserve">ХАРАКТЕРИСТИКА ПРОИЗВОДСТВА И АНАЛИЗ СУЩЕСТВУЮЩЕЙ СИСТЕМЫ УТИЛИЗАЦИИ СЕРОВОДОРОДА</w:t>
      </w:r>
    </w:p>
    <w:p>
      <w:pPr>
        <w:jc w:val="both"/>
        <w:ind w:firstLine="708"/>
        <w:spacing w:line="360" w:lineRule="auto"/>
      </w:pPr>
      <w:r>
        <w:rPr>
          <w:rFonts w:ascii="Times New Roman" w:hAnsi="Times New Roman"/>
          <w:sz w:val="28"/>
        </w:rPr>
        <w:t xml:space="preserve">Сероводород (H₂S) является одним из наиболее токсичных и опасных компонентов газовых выбросов нефтеперерабатывающих и газоперерабатывающих предприятий. Проблема его нейтрализации и утилизации приобретает особую актуальность в условиях ужесточения экологических требований и необходимости обеспечения промышленной безопасности. Эффективная система утилизации сероводорода не только снижает негативное воздействие на окружающую среду, но и позволяет получать товарную серу, имеющую широкое применение в различных отраслях промышленности.</w:t>
      </w:r>
    </w:p>
    <w:p>
      <w:pPr>
        <w:jc w:val="both"/>
        <w:ind w:firstLine="708"/>
        <w:spacing w:line="360" w:lineRule="auto"/>
      </w:pPr>
      <w:r>
        <w:rPr>
          <w:rFonts w:ascii="Times New Roman" w:hAnsi="Times New Roman"/>
          <w:sz w:val="28"/>
        </w:rPr>
        <w:t xml:space="preserve">Настоящий раздел посвящен детальному анализу существующей системы нейтрализации сероводорода на промышленном предприятии, выявлению основных источников его образования, оценке технологических параметров действующего оборудования и определению недостатков, требующих устранения в рамках реконструкции узла утилизации.</w:t>
      </w:r>
    </w:p>
    <w:p>
      <w:pPr>
        <w:pStyle w:val="Heading2"/>
        <w:spacing w:before="240" w:after="120"/>
      </w:pPr>
      <w:r>
        <w:rPr>
          <w:rFonts w:ascii="Times New Roman" w:hAnsi="Times New Roman"/>
          <w:b/>
          <w:sz w:val="28"/>
        </w:rPr>
        <w:t xml:space="preserve">Общая характеристика предприятия и технологического процесса</w:t>
      </w:r>
    </w:p>
    <w:p>
      <w:pPr>
        <w:jc w:val="both"/>
        <w:ind w:firstLine="708"/>
        <w:spacing w:line="360" w:lineRule="auto"/>
      </w:pPr>
      <w:r>
        <w:rPr>
          <w:rFonts w:ascii="Times New Roman" w:hAnsi="Times New Roman"/>
          <w:sz w:val="28"/>
        </w:rPr>
        <w:t xml:space="preserve">Рассматриваемое предприятие представляет собой крупный нефтеперерабатывающий комплекс, осуществляющий переработку сернистой и высокосернистой нефти с содержанием серы до 2,5-3,0% масс. Производственная мощность предприятия составляет порядка 8-12 млн тонн нефти в год. В состав технологической схемы входят установки первичной переработки нефти (атмосферно-вакуумная перегонка), каталитического крекинга, гидроочистки нефтепродуктов, риформинга, а также вспомогательные производства.</w:t>
      </w:r>
    </w:p>
    <w:p>
      <w:pPr>
        <w:jc w:val="both"/>
        <w:ind w:firstLine="708"/>
        <w:spacing w:line="360" w:lineRule="auto"/>
      </w:pPr>
      <w:r>
        <w:rPr>
          <w:rFonts w:ascii="Times New Roman" w:hAnsi="Times New Roman"/>
          <w:sz w:val="28"/>
        </w:rPr>
        <w:t xml:space="preserve">Основными продуктами предприятия являются автомобильные бензины различных марок, дизельное топливо, авиационный керосин, мазут, битум и сжиженные углеводородные газы. Технологический процесс характеризуется высокой степенью интеграции отдельных установок, что обеспечивает максимальную глубину переработки сырья и эффективное использование энергетических ресурсов.</w:t>
      </w:r>
    </w:p>
    <w:p>
      <w:pPr>
        <w:jc w:val="both"/>
        <w:ind w:firstLine="708"/>
        <w:spacing w:line="360" w:lineRule="auto"/>
      </w:pPr>
      <w:r>
        <w:rPr>
          <w:rFonts w:ascii="Times New Roman" w:hAnsi="Times New Roman"/>
          <w:sz w:val="28"/>
        </w:rPr>
        <w:t xml:space="preserve">Климатические условия региона размещения предприятия характеризуются континентальным климатом с температурными колебаниями от -35°C зимой до +35°C летом, что накладывает определенные требования на проектирование и эксплуатацию технологического оборудования, включая системы утилизации сероводорода. Преобладающее направление ветра в регионе – западное и юго-западное, что учитывается при размещении источников выбросов и проектировании санитарно-защитной зоны предприятия.</w:t>
      </w:r>
    </w:p>
    <w:p>
      <w:pPr>
        <w:pStyle w:val="Heading2"/>
        <w:spacing w:before="240" w:after="120"/>
      </w:pPr>
      <w:r>
        <w:rPr>
          <w:rFonts w:ascii="Times New Roman" w:hAnsi="Times New Roman"/>
          <w:b/>
          <w:sz w:val="28"/>
        </w:rPr>
        <w:t xml:space="preserve">Источники образования сероводородсодержащих газов</w:t>
      </w:r>
    </w:p>
    <w:p>
      <w:pPr>
        <w:jc w:val="both"/>
        <w:ind w:firstLine="708"/>
        <w:spacing w:line="360" w:lineRule="auto"/>
      </w:pPr>
      <w:r>
        <w:rPr>
          <w:rFonts w:ascii="Times New Roman" w:hAnsi="Times New Roman"/>
          <w:sz w:val="28"/>
        </w:rPr>
        <w:t xml:space="preserve">Сероводород на нефтеперерабатывающем предприятии образуется в результате протекания различных технологических процессов, связанных с термической и каталитической переработкой углеводородного сырья. Основными источниками генерации сероводородсодержащих газов являются установки гидроочистки, где происходит удаление серосодержащих соединений из нефтяных фракций в присутствии водорода и катализатора при температурах 300-420°C и давлениях 3-8 МПа.</w:t>
      </w:r>
    </w:p>
    <w:p>
      <w:pPr>
        <w:jc w:val="both"/>
        <w:ind w:firstLine="708"/>
        <w:spacing w:line="360" w:lineRule="auto"/>
      </w:pPr>
      <w:r>
        <w:rPr>
          <w:rFonts w:ascii="Times New Roman" w:hAnsi="Times New Roman"/>
          <w:sz w:val="28"/>
        </w:rPr>
        <w:t xml:space="preserve">На установках каталитического крекинга сероводород выделяется при термокаталитическом расщеплении тяжелых нефтяных фракций в присутствии алюмосиликатных катализаторов. Процесс протекает при температурах 480-530°C, что приводит к разрушению сераорганических соединений с образованием H₂S. Дополнительными источниками являются установки коксования, где при температурах 480-520°C происходит термическое разложение тяжелых остатков с выделением газообразных продуктов, содержащих сероводород.</w:t>
      </w:r>
    </w:p>
    <w:p>
      <w:pPr>
        <w:jc w:val="both"/>
        <w:ind w:firstLine="708"/>
        <w:spacing w:line="360" w:lineRule="auto"/>
      </w:pPr>
      <w:r>
        <w:rPr>
          <w:rFonts w:ascii="Times New Roman" w:hAnsi="Times New Roman"/>
          <w:sz w:val="28"/>
        </w:rPr>
        <w:t xml:space="preserve">Установки первичной переработки нефти также вносят свой вклад в общую картину образования сероводородсодержащих газов. При атмосферной перегонке легкие сернистые соединения переходят в газовую фазу и концентрируются в головных фракциях. Процессы стабилизации бензиновых фракций и отпарки кислых вод приводят к выделению газов с содержанием H₂S от 0,5 до 15% об.</w:t>
      </w:r>
    </w:p>
    <w:p>
      <w:pPr>
        <w:jc w:val="both"/>
        <w:ind w:firstLine="708"/>
        <w:spacing w:line="360" w:lineRule="auto"/>
      </w:pPr>
      <w:r>
        <w:rPr>
          <w:rFonts w:ascii="Times New Roman" w:hAnsi="Times New Roman"/>
          <w:sz w:val="28"/>
        </w:rPr>
        <w:t xml:space="preserve">Количественная характеристика основных источников образования сероводорода представлена в следующей таблице:</w:t>
      </w:r>
    </w:p>
    <w:p>
      <w:pPr>
        <w:jc w:val="center"/>
        <w:spacing w:after="120"/>
      </w:pPr>
      <w:r>
        <w:rPr>
          <w:rFonts w:ascii="Times New Roman" w:hAnsi="Times New Roman"/>
          <w:sz w:val="24"/>
          <w:b/>
        </w:rPr>
        <w:t>Таблица 1. Источники образования сероводородсодержащих газов на предприятии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Источник</w:t>
            </w:r>
          </w:p>
        </w:tc>
        <w:tc>
          <w:tcPr>
            <w:vAlign w:val="center"/>
          </w:tcPr>
          <w:p>
            <w:pPr>
              <w:jc w:val="center"/>
            </w:pPr>
            <w:r>
              <w:rPr>
                <w:rFonts w:ascii="Times New Roman"/>
                <w:sz w:val="24"/>
                <w:b/>
              </w:rPr>
              <w:t>Расход газа, нм³/ч</w:t>
            </w:r>
          </w:p>
        </w:tc>
        <w:tc>
          <w:tcPr>
            <w:vAlign w:val="center"/>
          </w:tcPr>
          <w:p>
            <w:pPr>
              <w:jc w:val="center"/>
            </w:pPr>
            <w:r>
              <w:rPr>
                <w:rFonts w:ascii="Times New Roman"/>
                <w:sz w:val="24"/>
                <w:b/>
              </w:rPr>
              <w:t>Содержание H₂S, % об.</w:t>
            </w:r>
          </w:p>
        </w:tc>
        <w:tc>
          <w:tcPr>
            <w:vAlign w:val="center"/>
          </w:tcPr>
          <w:p>
            <w:pPr>
              <w:jc w:val="center"/>
            </w:pPr>
            <w:r>
              <w:rPr>
                <w:rFonts w:ascii="Times New Roman"/>
                <w:sz w:val="24"/>
                <w:b/>
              </w:rPr>
              <w:t>Выход H₂S, кг/ч</w:t>
            </w:r>
          </w:p>
        </w:tc>
      </w:tr>
      <w:tr>
        <w:tc>
          <w:tcPr>
            <w:vAlign w:val="center"/>
          </w:tcPr>
          <w:p>
            <w:pPr>
              <w:jc w:val="center"/>
            </w:pPr>
            <w:r>
              <w:rPr>
                <w:rFonts w:ascii="Times New Roman"/>
                <w:sz w:val="24"/>
              </w:rPr>
              <w:t>Установка гидроочистки дизельного топлива</w:t>
            </w:r>
          </w:p>
        </w:tc>
        <w:tc>
          <w:tcPr>
            <w:vAlign w:val="center"/>
          </w:tcPr>
          <w:p>
            <w:pPr>
              <w:jc w:val="center"/>
            </w:pPr>
            <w:r>
              <w:rPr>
                <w:rFonts w:ascii="Times New Roman"/>
                <w:sz w:val="24"/>
              </w:rPr>
              <w:t>2500-3000</w:t>
            </w:r>
          </w:p>
        </w:tc>
        <w:tc>
          <w:tcPr>
            <w:vAlign w:val="center"/>
          </w:tcPr>
          <w:p>
            <w:pPr>
              <w:jc w:val="center"/>
            </w:pPr>
            <w:r>
              <w:rPr>
                <w:rFonts w:ascii="Times New Roman"/>
                <w:sz w:val="24"/>
              </w:rPr>
              <w:t>8-12</w:t>
            </w:r>
          </w:p>
        </w:tc>
        <w:tc>
          <w:tcPr>
            <w:vAlign w:val="center"/>
          </w:tcPr>
          <w:p>
            <w:pPr>
              <w:jc w:val="center"/>
            </w:pPr>
            <w:r>
              <w:rPr>
                <w:rFonts w:ascii="Times New Roman"/>
                <w:sz w:val="24"/>
              </w:rPr>
              <w:t>180-250</w:t>
            </w:r>
          </w:p>
        </w:tc>
      </w:tr>
      <w:tr>
        <w:tc>
          <w:tcPr>
            <w:vAlign w:val="center"/>
          </w:tcPr>
          <w:p>
            <w:pPr>
              <w:jc w:val="center"/>
            </w:pPr>
            <w:r>
              <w:rPr>
                <w:rFonts w:ascii="Times New Roman"/>
                <w:sz w:val="24"/>
              </w:rPr>
              <w:t>Установка гидроочистки бензина</w:t>
            </w:r>
          </w:p>
        </w:tc>
        <w:tc>
          <w:tcPr>
            <w:vAlign w:val="center"/>
          </w:tcPr>
          <w:p>
            <w:pPr>
              <w:jc w:val="center"/>
            </w:pPr>
            <w:r>
              <w:rPr>
                <w:rFonts w:ascii="Times New Roman"/>
                <w:sz w:val="24"/>
              </w:rPr>
              <w:t>1800-2200</w:t>
            </w:r>
          </w:p>
        </w:tc>
        <w:tc>
          <w:tcPr>
            <w:vAlign w:val="center"/>
          </w:tcPr>
          <w:p>
            <w:pPr>
              <w:jc w:val="center"/>
            </w:pPr>
            <w:r>
              <w:rPr>
                <w:rFonts w:ascii="Times New Roman"/>
                <w:sz w:val="24"/>
              </w:rPr>
              <w:t>6-10</w:t>
            </w:r>
          </w:p>
        </w:tc>
        <w:tc>
          <w:tcPr>
            <w:vAlign w:val="center"/>
          </w:tcPr>
          <w:p>
            <w:pPr>
              <w:jc w:val="center"/>
            </w:pPr>
            <w:r>
              <w:rPr>
                <w:rFonts w:ascii="Times New Roman"/>
                <w:sz w:val="24"/>
              </w:rPr>
              <w:t>90-150</w:t>
            </w:r>
          </w:p>
        </w:tc>
      </w:tr>
      <w:tr>
        <w:tc>
          <w:tcPr>
            <w:vAlign w:val="center"/>
          </w:tcPr>
          <w:p>
            <w:pPr>
              <w:jc w:val="center"/>
            </w:pPr>
            <w:r>
              <w:rPr>
                <w:rFonts w:ascii="Times New Roman"/>
                <w:sz w:val="24"/>
              </w:rPr>
              <w:t>Установка каталитического крекинга</w:t>
            </w:r>
          </w:p>
        </w:tc>
        <w:tc>
          <w:tcPr>
            <w:vAlign w:val="center"/>
          </w:tcPr>
          <w:p>
            <w:pPr>
              <w:jc w:val="center"/>
            </w:pPr>
            <w:r>
              <w:rPr>
                <w:rFonts w:ascii="Times New Roman"/>
                <w:sz w:val="24"/>
              </w:rPr>
              <w:t>3500-4500</w:t>
            </w:r>
          </w:p>
        </w:tc>
        <w:tc>
          <w:tcPr>
            <w:vAlign w:val="center"/>
          </w:tcPr>
          <w:p>
            <w:pPr>
              <w:jc w:val="center"/>
            </w:pPr>
            <w:r>
              <w:rPr>
                <w:rFonts w:ascii="Times New Roman"/>
                <w:sz w:val="24"/>
              </w:rPr>
              <w:t>3-6</w:t>
            </w:r>
          </w:p>
        </w:tc>
        <w:tc>
          <w:tcPr>
            <w:vAlign w:val="center"/>
          </w:tcPr>
          <w:p>
            <w:pPr>
              <w:jc w:val="center"/>
            </w:pPr>
            <w:r>
              <w:rPr>
                <w:rFonts w:ascii="Times New Roman"/>
                <w:sz w:val="24"/>
              </w:rPr>
              <w:t>80-180</w:t>
            </w:r>
          </w:p>
        </w:tc>
      </w:tr>
      <w:tr>
        <w:tc>
          <w:tcPr>
            <w:vAlign w:val="center"/>
          </w:tcPr>
          <w:p>
            <w:pPr>
              <w:jc w:val="center"/>
            </w:pPr>
            <w:r>
              <w:rPr>
                <w:rFonts w:ascii="Times New Roman"/>
                <w:sz w:val="24"/>
              </w:rPr>
              <w:t>Установка коксования</w:t>
            </w:r>
          </w:p>
        </w:tc>
        <w:tc>
          <w:tcPr>
            <w:vAlign w:val="center"/>
          </w:tcPr>
          <w:p>
            <w:pPr>
              <w:jc w:val="center"/>
            </w:pPr>
            <w:r>
              <w:rPr>
                <w:rFonts w:ascii="Times New Roman"/>
                <w:sz w:val="24"/>
              </w:rPr>
              <w:t>1200-1500</w:t>
            </w:r>
          </w:p>
        </w:tc>
        <w:tc>
          <w:tcPr>
            <w:vAlign w:val="center"/>
          </w:tcPr>
          <w:p>
            <w:pPr>
              <w:jc w:val="center"/>
            </w:pPr>
            <w:r>
              <w:rPr>
                <w:rFonts w:ascii="Times New Roman"/>
                <w:sz w:val="24"/>
              </w:rPr>
              <w:t>4-8</w:t>
            </w:r>
          </w:p>
        </w:tc>
        <w:tc>
          <w:tcPr>
            <w:vAlign w:val="center"/>
          </w:tcPr>
          <w:p>
            <w:pPr>
              <w:jc w:val="center"/>
            </w:pPr>
            <w:r>
              <w:rPr>
                <w:rFonts w:ascii="Times New Roman"/>
                <w:sz w:val="24"/>
              </w:rPr>
              <w:t>35-85</w:t>
            </w:r>
          </w:p>
        </w:tc>
      </w:tr>
      <w:tr>
        <w:tc>
          <w:tcPr>
            <w:vAlign w:val="center"/>
          </w:tcPr>
          <w:p>
            <w:pPr>
              <w:jc w:val="center"/>
            </w:pPr>
            <w:r>
              <w:rPr>
                <w:rFonts w:ascii="Times New Roman"/>
                <w:sz w:val="24"/>
              </w:rPr>
              <w:t>Блок стабилизации и отпарки</w:t>
            </w:r>
          </w:p>
        </w:tc>
        <w:tc>
          <w:tcPr>
            <w:vAlign w:val="center"/>
          </w:tcPr>
          <w:p>
            <w:pPr>
              <w:jc w:val="center"/>
            </w:pPr>
            <w:r>
              <w:rPr>
                <w:rFonts w:ascii="Times New Roman"/>
                <w:sz w:val="24"/>
              </w:rPr>
              <w:t>800-1200</w:t>
            </w:r>
          </w:p>
        </w:tc>
        <w:tc>
          <w:tcPr>
            <w:vAlign w:val="center"/>
          </w:tcPr>
          <w:p>
            <w:pPr>
              <w:jc w:val="center"/>
            </w:pPr>
            <w:r>
              <w:rPr>
                <w:rFonts w:ascii="Times New Roman"/>
                <w:sz w:val="24"/>
              </w:rPr>
              <w:t>1-3</w:t>
            </w:r>
          </w:p>
        </w:tc>
        <w:tc>
          <w:tcPr>
            <w:vAlign w:val="center"/>
          </w:tcPr>
          <w:p>
            <w:pPr>
              <w:jc w:val="center"/>
            </w:pPr>
            <w:r>
              <w:rPr>
                <w:rFonts w:ascii="Times New Roman"/>
                <w:sz w:val="24"/>
              </w:rPr>
              <w:t>8-25</w:t>
            </w:r>
          </w:p>
        </w:tc>
      </w:tr>
      <w:tr>
        <w:tc>
          <w:tcPr>
            <w:vAlign w:val="center"/>
          </w:tcPr>
          <w:p>
            <w:pPr>
              <w:jc w:val="center"/>
            </w:pPr>
            <w:r>
              <w:rPr>
                <w:rFonts w:ascii="Times New Roman"/>
                <w:sz w:val="24"/>
              </w:rPr>
              <w:t>Итого</w:t>
            </w:r>
          </w:p>
        </w:tc>
        <w:tc>
          <w:tcPr>
            <w:vAlign w:val="center"/>
          </w:tcPr>
          <w:p>
            <w:pPr>
              <w:jc w:val="center"/>
            </w:pPr>
            <w:r>
              <w:rPr>
                <w:rFonts w:ascii="Times New Roman"/>
                <w:sz w:val="24"/>
              </w:rPr>
              <w:t>9800-12400</w:t>
            </w:r>
          </w:p>
        </w:tc>
        <w:tc>
          <w:tcPr>
            <w:vAlign w:val="center"/>
          </w:tcPr>
          <w:p>
            <w:pPr>
              <w:jc w:val="center"/>
            </w:pPr>
            <w:r>
              <w:rPr>
                <w:rFonts w:ascii="Times New Roman"/>
                <w:sz w:val="24"/>
              </w:rPr>
              <w:t>-</w:t>
            </w:r>
          </w:p>
        </w:tc>
        <w:tc>
          <w:tcPr>
            <w:vAlign w:val="center"/>
          </w:tcPr>
          <w:p>
            <w:pPr>
              <w:jc w:val="center"/>
            </w:pPr>
            <w:r>
              <w:rPr>
                <w:rFonts w:ascii="Times New Roman"/>
                <w:sz w:val="24"/>
              </w:rPr>
              <w:t>393-690</w:t>
            </w:r>
          </w:p>
        </w:tc>
      </w:tr>
    </w:tbl>
    <w:p>
      <w:r>
        <w:t/>
      </w:r>
    </w:p>
    <w:p>
      <w:pPr>
        <w:jc w:val="both"/>
        <w:ind w:firstLine="708"/>
        <w:spacing w:line="360" w:lineRule="auto"/>
      </w:pPr>
      <w:r>
        <w:rPr>
          <w:rFonts w:ascii="Times New Roman" w:hAnsi="Times New Roman"/>
          <w:sz w:val="28"/>
        </w:rPr>
        <w:t xml:space="preserve">Газы от различных установок характеризуются не только разным содержанием сероводорода, но и отличаются по составу сопутствующих компонентов. Наряду с H₂S в газовых потоках присутствуют углеводороды C₁-C₄, аммиак, диоксид углерода, меркаптаны и другие соединения. Это обстоятельство требует применения многоступенчатой системы очистки и разделения газовых потоков перед их направлением на узел утилизации сероводорода.</w:t>
      </w:r>
    </w:p>
    <w:p>
      <w:pPr>
        <w:jc w:val="both"/>
        <w:ind w:firstLine="708"/>
        <w:spacing w:line="360" w:lineRule="auto"/>
      </w:pPr>
      <w:r>
        <w:rPr>
          <w:rFonts w:ascii="Times New Roman" w:hAnsi="Times New Roman"/>
          <w:sz w:val="28"/>
        </w:rPr>
        <w:t xml:space="preserve">Исследования показывают, что выбросы сероводорода от промышленных объектов представляют серьезную экологическую угрозу. Как отмечается в работах по оценке качества воздуха вблизи промышленных зон, концентрации H₂S могут существенно превышать допустимые нормативы, что негативно влияет на здоровье населения и состояние окружающей среды</w:t>
      </w:r>
      <w:hyperlink w:anchor="_Source_5">
        <w:r>
          <w:rPr>
            <w:rFonts w:ascii="Times New Roman" w:hAnsi="Times New Roman"/>
            <w:sz w:val="28"/>
            <w:rStyle w:val="Hyperlink"/>
          </w:rPr>
          <w:t>[5]</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Характеристика существующего узла нейтрализации сероводорода</w:t>
      </w:r>
    </w:p>
    <w:p>
      <w:pPr>
        <w:jc w:val="both"/>
        <w:ind w:firstLine="708"/>
        <w:spacing w:line="360" w:lineRule="auto"/>
      </w:pPr>
      <w:r>
        <w:rPr>
          <w:rFonts w:ascii="Times New Roman" w:hAnsi="Times New Roman"/>
          <w:sz w:val="28"/>
        </w:rPr>
        <w:t xml:space="preserve">Действующий узел нейтрализации сероводорода на предприятии был введен в эксплуатацию в конце 1990-х годов и базируется на классической схеме Клауса с двухступенчатой каталитической конверсией. Установка включает в себя следующие основные технологические блоки: термическую секцию (печь Клауса), две ступени каталитической конверсии, систему конденсации и сбора серы, блок инсинерации хвостовых газов.</w:t>
      </w:r>
    </w:p>
    <w:p>
      <w:pPr>
        <w:jc w:val="both"/>
        <w:ind w:firstLine="708"/>
        <w:spacing w:line="360" w:lineRule="auto"/>
      </w:pPr>
      <w:r>
        <w:rPr>
          <w:rFonts w:ascii="Times New Roman" w:hAnsi="Times New Roman"/>
          <w:sz w:val="28"/>
        </w:rPr>
        <w:t xml:space="preserve">В термической секции происходит частичное окисление сероводорода кислородом воздуха при температуре 1000-1200°C согласно реакции: 2H₂S + 3O₂ → 2SO₂ + 2H₂O. Одновременно протекает реакция Клауса: 2H₂S + SO₂ → 3S + 2H₂O. Соотношение H₂S к O₂ регулируется таким образом, чтобы обеспечить стехиометрическое соотношение H₂S:SO₂ = 2:1 для последующих каталитических стадий. Температура в термической секции поддерживается в диапазоне 1050-1150°C, что обеспечивает термическую конверсию сероводорода на уровне 60-70%.</w:t>
      </w:r>
    </w:p>
    <w:p>
      <w:pPr>
        <w:jc w:val="both"/>
        <w:ind w:firstLine="708"/>
        <w:spacing w:line="360" w:lineRule="auto"/>
      </w:pPr>
      <w:r>
        <w:rPr>
          <w:rFonts w:ascii="Times New Roman" w:hAnsi="Times New Roman"/>
          <w:sz w:val="28"/>
        </w:rPr>
        <w:t xml:space="preserve">Газы из термической секции охлаждаются в котле-утилизаторе до температуры 320-340°C с одновременной выработкой водяного пара среднего давления (1,5-2,0 МПа). Далее газовый поток последовательно проходит через два каталитических реактора, где при температурах 220-280°C на алюмооксидном катализаторе протекает реакция Клауса с образованием элементной серы. Между реакторами и после второго реактора установлены конденсаторы серы, где происходит ее конденсация и отделение от газового потока при температуре 155-165°C.</w:t>
      </w:r>
    </w:p>
    <w:p>
      <w:pPr>
        <w:jc w:val="both"/>
        <w:ind w:firstLine="708"/>
        <w:spacing w:line="360" w:lineRule="auto"/>
      </w:pPr>
      <w:r>
        <w:rPr>
          <w:rFonts w:ascii="Times New Roman" w:hAnsi="Times New Roman"/>
          <w:sz w:val="28"/>
        </w:rPr>
        <w:t xml:space="preserve">Технологические параметры основных аппаратов существующего узла представлены в таблице:</w:t>
      </w:r>
    </w:p>
    <w:p>
      <w:pPr>
        <w:jc w:val="center"/>
        <w:spacing w:after="120"/>
      </w:pPr>
      <w:r>
        <w:rPr>
          <w:rFonts w:ascii="Times New Roman" w:hAnsi="Times New Roman"/>
          <w:sz w:val="24"/>
          <w:b/>
        </w:rPr>
        <w:t>Таблица 2. Основное оборудование действующей установки Клауса</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Наименование оборудования</w:t>
            </w:r>
          </w:p>
        </w:tc>
        <w:tc>
          <w:tcPr>
            <w:vAlign w:val="center"/>
          </w:tcPr>
          <w:p>
            <w:pPr>
              <w:jc w:val="center"/>
            </w:pPr>
            <w:r>
              <w:rPr>
                <w:rFonts w:ascii="Times New Roman"/>
                <w:sz w:val="24"/>
                <w:b/>
              </w:rPr>
              <w:t>Габариты (D×H), мм</w:t>
            </w:r>
          </w:p>
        </w:tc>
        <w:tc>
          <w:tcPr>
            <w:vAlign w:val="center"/>
          </w:tcPr>
          <w:p>
            <w:pPr>
              <w:jc w:val="center"/>
            </w:pPr>
            <w:r>
              <w:rPr>
                <w:rFonts w:ascii="Times New Roman"/>
                <w:sz w:val="24"/>
                <w:b/>
              </w:rPr>
              <w:t>Температура, °C</w:t>
            </w:r>
          </w:p>
        </w:tc>
        <w:tc>
          <w:tcPr>
            <w:vAlign w:val="center"/>
          </w:tcPr>
          <w:p>
            <w:pPr>
              <w:jc w:val="center"/>
            </w:pPr>
            <w:r>
              <w:rPr>
                <w:rFonts w:ascii="Times New Roman"/>
                <w:sz w:val="24"/>
                <w:b/>
              </w:rPr>
              <w:t>Давление, кПа</w:t>
            </w:r>
          </w:p>
        </w:tc>
      </w:tr>
      <w:tr>
        <w:tc>
          <w:tcPr>
            <w:vAlign w:val="center"/>
          </w:tcPr>
          <w:p>
            <w:pPr>
              <w:jc w:val="center"/>
            </w:pPr>
            <w:r>
              <w:rPr>
                <w:rFonts w:ascii="Times New Roman"/>
                <w:sz w:val="24"/>
              </w:rPr>
              <w:t>Печь Клауса (термическая секция)</w:t>
            </w:r>
          </w:p>
        </w:tc>
        <w:tc>
          <w:tcPr>
            <w:vAlign w:val="center"/>
          </w:tcPr>
          <w:p>
            <w:pPr>
              <w:jc w:val="center"/>
            </w:pPr>
            <w:r>
              <w:rPr>
                <w:rFonts w:ascii="Times New Roman"/>
                <w:sz w:val="24"/>
              </w:rPr>
              <w:t>2800×8500</w:t>
            </w:r>
          </w:p>
        </w:tc>
        <w:tc>
          <w:tcPr>
            <w:vAlign w:val="center"/>
          </w:tcPr>
          <w:p>
            <w:pPr>
              <w:jc w:val="center"/>
            </w:pPr>
            <w:r>
              <w:rPr>
                <w:rFonts w:ascii="Times New Roman"/>
                <w:sz w:val="24"/>
              </w:rPr>
              <w:t>1050-1150</w:t>
            </w:r>
          </w:p>
        </w:tc>
        <w:tc>
          <w:tcPr>
            <w:vAlign w:val="center"/>
          </w:tcPr>
          <w:p>
            <w:pPr>
              <w:jc w:val="center"/>
            </w:pPr>
            <w:r>
              <w:rPr>
                <w:rFonts w:ascii="Times New Roman"/>
                <w:sz w:val="24"/>
              </w:rPr>
              <w:t>120-140</w:t>
            </w:r>
          </w:p>
        </w:tc>
      </w:tr>
      <w:tr>
        <w:tc>
          <w:tcPr>
            <w:vAlign w:val="center"/>
          </w:tcPr>
          <w:p>
            <w:pPr>
              <w:jc w:val="center"/>
            </w:pPr>
            <w:r>
              <w:rPr>
                <w:rFonts w:ascii="Times New Roman"/>
                <w:sz w:val="24"/>
              </w:rPr>
              <w:t>Котел-утилизатор</w:t>
            </w:r>
          </w:p>
        </w:tc>
        <w:tc>
          <w:tcPr>
            <w:vAlign w:val="center"/>
          </w:tcPr>
          <w:p>
            <w:pPr>
              <w:jc w:val="center"/>
            </w:pPr>
            <w:r>
              <w:rPr>
                <w:rFonts w:ascii="Times New Roman"/>
                <w:sz w:val="24"/>
              </w:rPr>
              <w:t>2400×12000</w:t>
            </w:r>
          </w:p>
        </w:tc>
        <w:tc>
          <w:tcPr>
            <w:vAlign w:val="center"/>
          </w:tcPr>
          <w:p>
            <w:pPr>
              <w:jc w:val="center"/>
            </w:pPr>
            <w:r>
              <w:rPr>
                <w:rFonts w:ascii="Times New Roman"/>
                <w:sz w:val="24"/>
              </w:rPr>
              <w:t>320-340</w:t>
            </w:r>
          </w:p>
        </w:tc>
        <w:tc>
          <w:tcPr>
            <w:vAlign w:val="center"/>
          </w:tcPr>
          <w:p>
            <w:pPr>
              <w:jc w:val="center"/>
            </w:pPr>
            <w:r>
              <w:rPr>
                <w:rFonts w:ascii="Times New Roman"/>
                <w:sz w:val="24"/>
              </w:rPr>
              <w:t>110-130</w:t>
            </w:r>
          </w:p>
        </w:tc>
      </w:tr>
      <w:tr>
        <w:tc>
          <w:tcPr>
            <w:vAlign w:val="center"/>
          </w:tcPr>
          <w:p>
            <w:pPr>
              <w:jc w:val="center"/>
            </w:pPr>
            <w:r>
              <w:rPr>
                <w:rFonts w:ascii="Times New Roman"/>
                <w:sz w:val="24"/>
              </w:rPr>
              <w:t>Первый каталитический реактор</w:t>
            </w:r>
          </w:p>
        </w:tc>
        <w:tc>
          <w:tcPr>
            <w:vAlign w:val="center"/>
          </w:tcPr>
          <w:p>
            <w:pPr>
              <w:jc w:val="center"/>
            </w:pPr>
            <w:r>
              <w:rPr>
                <w:rFonts w:ascii="Times New Roman"/>
                <w:sz w:val="24"/>
              </w:rPr>
              <w:t>3200×6500</w:t>
            </w:r>
          </w:p>
        </w:tc>
        <w:tc>
          <w:tcPr>
            <w:vAlign w:val="center"/>
          </w:tcPr>
          <w:p>
            <w:pPr>
              <w:jc w:val="center"/>
            </w:pPr>
            <w:r>
              <w:rPr>
                <w:rFonts w:ascii="Times New Roman"/>
                <w:sz w:val="24"/>
              </w:rPr>
              <w:t>220-260</w:t>
            </w:r>
          </w:p>
        </w:tc>
        <w:tc>
          <w:tcPr>
            <w:vAlign w:val="center"/>
          </w:tcPr>
          <w:p>
            <w:pPr>
              <w:jc w:val="center"/>
            </w:pPr>
            <w:r>
              <w:rPr>
                <w:rFonts w:ascii="Times New Roman"/>
                <w:sz w:val="24"/>
              </w:rPr>
              <w:t>105-125</w:t>
            </w:r>
          </w:p>
        </w:tc>
      </w:tr>
      <w:tr>
        <w:tc>
          <w:tcPr>
            <w:vAlign w:val="center"/>
          </w:tcPr>
          <w:p>
            <w:pPr>
              <w:jc w:val="center"/>
            </w:pPr>
            <w:r>
              <w:rPr>
                <w:rFonts w:ascii="Times New Roman"/>
                <w:sz w:val="24"/>
              </w:rPr>
              <w:t>Первый конденсатор серы</w:t>
            </w:r>
          </w:p>
        </w:tc>
        <w:tc>
          <w:tcPr>
            <w:vAlign w:val="center"/>
          </w:tcPr>
          <w:p>
            <w:pPr>
              <w:jc w:val="center"/>
            </w:pPr>
            <w:r>
              <w:rPr>
                <w:rFonts w:ascii="Times New Roman"/>
                <w:sz w:val="24"/>
              </w:rPr>
              <w:t>2200×8000</w:t>
            </w:r>
          </w:p>
        </w:tc>
        <w:tc>
          <w:tcPr>
            <w:vAlign w:val="center"/>
          </w:tcPr>
          <w:p>
            <w:pPr>
              <w:jc w:val="center"/>
            </w:pPr>
            <w:r>
              <w:rPr>
                <w:rFonts w:ascii="Times New Roman"/>
                <w:sz w:val="24"/>
              </w:rPr>
              <w:t>155-165</w:t>
            </w:r>
          </w:p>
        </w:tc>
        <w:tc>
          <w:tcPr>
            <w:vAlign w:val="center"/>
          </w:tcPr>
          <w:p>
            <w:pPr>
              <w:jc w:val="center"/>
            </w:pPr>
            <w:r>
              <w:rPr>
                <w:rFonts w:ascii="Times New Roman"/>
                <w:sz w:val="24"/>
              </w:rPr>
              <w:t>100-120</w:t>
            </w:r>
          </w:p>
        </w:tc>
      </w:tr>
      <w:tr>
        <w:tc>
          <w:tcPr>
            <w:vAlign w:val="center"/>
          </w:tcPr>
          <w:p>
            <w:pPr>
              <w:jc w:val="center"/>
            </w:pPr>
            <w:r>
              <w:rPr>
                <w:rFonts w:ascii="Times New Roman"/>
                <w:sz w:val="24"/>
              </w:rPr>
              <w:t>Второй каталитический реактор</w:t>
            </w:r>
          </w:p>
        </w:tc>
        <w:tc>
          <w:tcPr>
            <w:vAlign w:val="center"/>
          </w:tcPr>
          <w:p>
            <w:pPr>
              <w:jc w:val="center"/>
            </w:pPr>
            <w:r>
              <w:rPr>
                <w:rFonts w:ascii="Times New Roman"/>
                <w:sz w:val="24"/>
              </w:rPr>
              <w:t>3200×6500</w:t>
            </w:r>
          </w:p>
        </w:tc>
        <w:tc>
          <w:tcPr>
            <w:vAlign w:val="center"/>
          </w:tcPr>
          <w:p>
            <w:pPr>
              <w:jc w:val="center"/>
            </w:pPr>
            <w:r>
              <w:rPr>
                <w:rFonts w:ascii="Times New Roman"/>
                <w:sz w:val="24"/>
              </w:rPr>
              <w:t>240-280</w:t>
            </w:r>
          </w:p>
        </w:tc>
        <w:tc>
          <w:tcPr>
            <w:vAlign w:val="center"/>
          </w:tcPr>
          <w:p>
            <w:pPr>
              <w:jc w:val="center"/>
            </w:pPr>
            <w:r>
              <w:rPr>
                <w:rFonts w:ascii="Times New Roman"/>
                <w:sz w:val="24"/>
              </w:rPr>
              <w:t>95-115</w:t>
            </w:r>
          </w:p>
        </w:tc>
      </w:tr>
      <w:tr>
        <w:tc>
          <w:tcPr>
            <w:vAlign w:val="center"/>
          </w:tcPr>
          <w:p>
            <w:pPr>
              <w:jc w:val="center"/>
            </w:pPr>
            <w:r>
              <w:rPr>
                <w:rFonts w:ascii="Times New Roman"/>
                <w:sz w:val="24"/>
              </w:rPr>
              <w:t>Второй конденсатор серы</w:t>
            </w:r>
          </w:p>
        </w:tc>
        <w:tc>
          <w:tcPr>
            <w:vAlign w:val="center"/>
          </w:tcPr>
          <w:p>
            <w:pPr>
              <w:jc w:val="center"/>
            </w:pPr>
            <w:r>
              <w:rPr>
                <w:rFonts w:ascii="Times New Roman"/>
                <w:sz w:val="24"/>
              </w:rPr>
              <w:t>2200×8000</w:t>
            </w:r>
          </w:p>
        </w:tc>
        <w:tc>
          <w:tcPr>
            <w:vAlign w:val="center"/>
          </w:tcPr>
          <w:p>
            <w:pPr>
              <w:jc w:val="center"/>
            </w:pPr>
            <w:r>
              <w:rPr>
                <w:rFonts w:ascii="Times New Roman"/>
                <w:sz w:val="24"/>
              </w:rPr>
              <w:t>155-165</w:t>
            </w:r>
          </w:p>
        </w:tc>
        <w:tc>
          <w:tcPr>
            <w:vAlign w:val="center"/>
          </w:tcPr>
          <w:p>
            <w:pPr>
              <w:jc w:val="center"/>
            </w:pPr>
            <w:r>
              <w:rPr>
                <w:rFonts w:ascii="Times New Roman"/>
                <w:sz w:val="24"/>
              </w:rPr>
              <w:t>90-110</w:t>
            </w:r>
          </w:p>
        </w:tc>
      </w:tr>
      <w:tr>
        <w:tc>
          <w:tcPr>
            <w:vAlign w:val="center"/>
          </w:tcPr>
          <w:p>
            <w:pPr>
              <w:jc w:val="center"/>
            </w:pPr>
            <w:r>
              <w:rPr>
                <w:rFonts w:ascii="Times New Roman"/>
                <w:sz w:val="24"/>
              </w:rPr>
              <w:t>Инсинератор хвостовых газов</w:t>
            </w:r>
          </w:p>
        </w:tc>
        <w:tc>
          <w:tcPr>
            <w:vAlign w:val="center"/>
          </w:tcPr>
          <w:p>
            <w:pPr>
              <w:jc w:val="center"/>
            </w:pPr>
            <w:r>
              <w:rPr>
                <w:rFonts w:ascii="Times New Roman"/>
                <w:sz w:val="24"/>
              </w:rPr>
              <w:t>2000×6000</w:t>
            </w:r>
          </w:p>
        </w:tc>
        <w:tc>
          <w:tcPr>
            <w:vAlign w:val="center"/>
          </w:tcPr>
          <w:p>
            <w:pPr>
              <w:jc w:val="center"/>
            </w:pPr>
            <w:r>
              <w:rPr>
                <w:rFonts w:ascii="Times New Roman"/>
                <w:sz w:val="24"/>
              </w:rPr>
              <w:t>650-750</w:t>
            </w:r>
          </w:p>
        </w:tc>
        <w:tc>
          <w:tcPr>
            <w:vAlign w:val="center"/>
          </w:tcPr>
          <w:p>
            <w:pPr>
              <w:jc w:val="center"/>
            </w:pPr>
            <w:r>
              <w:rPr>
                <w:rFonts w:ascii="Times New Roman"/>
                <w:sz w:val="24"/>
              </w:rPr>
              <w:t>85-105</w:t>
            </w:r>
          </w:p>
        </w:tc>
      </w:tr>
    </w:tbl>
    <w:p>
      <w:r>
        <w:t/>
      </w:r>
    </w:p>
    <w:p>
      <w:pPr>
        <w:jc w:val="both"/>
        <w:ind w:firstLine="708"/>
        <w:spacing w:line="360" w:lineRule="auto"/>
      </w:pPr>
      <w:r>
        <w:rPr>
          <w:rFonts w:ascii="Times New Roman" w:hAnsi="Times New Roman"/>
          <w:sz w:val="28"/>
        </w:rPr>
        <w:t xml:space="preserve">Хвостовые газы после второй ступени конденсации содержат непрореагировавшие H₂S, SO₂, а также пары серы и направляются в инсинератор, где при температуре 650-750°C происходит полное окисление серосодержащих соединений до SO₂. Газы после инсинерации охлаждаются и выбрасываются в атмосферу через дымовую трубу высотой 45 метров.</w:t>
      </w:r>
    </w:p>
    <w:p>
      <w:pPr>
        <w:jc w:val="both"/>
        <w:ind w:firstLine="708"/>
        <w:spacing w:line="360" w:lineRule="auto"/>
      </w:pPr>
      <w:r>
        <w:rPr>
          <w:rFonts w:ascii="Times New Roman" w:hAnsi="Times New Roman"/>
          <w:sz w:val="28"/>
        </w:rPr>
        <w:t xml:space="preserve">Общая степень извлечения серы на действующей установке составляет 94-96%, что соответствует остаточному содержанию серосодержащих соединений в хвостовых газах (в пересчете на SO₂) на уровне 1200-1800 мг/нм³. Производительность установки по переработке кислого газа составляет 8500-9500 нм³/ч при содержании H₂S в исходном сырье 85-92% об. Выход товарной серы составляет 110-140 тонн в сутки в зависимости от режима работы основных технологических установок предприятия.</w:t>
      </w:r>
    </w:p>
    <w:p>
      <w:pPr>
        <w:pStyle w:val="Heading2"/>
        <w:spacing w:before="240" w:after="120"/>
      </w:pPr>
      <w:r>
        <w:rPr>
          <w:rFonts w:ascii="Times New Roman" w:hAnsi="Times New Roman"/>
          <w:b/>
          <w:sz w:val="28"/>
        </w:rPr>
        <w:t xml:space="preserve">Анализ недостатков действующей системы</w:t>
      </w:r>
    </w:p>
    <w:p>
      <w:pPr>
        <w:jc w:val="both"/>
        <w:ind w:firstLine="708"/>
        <w:spacing w:line="360" w:lineRule="auto"/>
      </w:pPr>
      <w:r>
        <w:rPr>
          <w:rFonts w:ascii="Times New Roman" w:hAnsi="Times New Roman"/>
          <w:sz w:val="28"/>
        </w:rPr>
        <w:t xml:space="preserve">Эксплуатация существующей установки Клауса в течение более чем 25 лет выявила ряд существенных недостатков, которые ограничивают ее эффективность и не позволяют соответствовать современным экологическим требованиям. Основной проблемой является недостаточная степень извлечения серы, составляющая 94-96%, в то время как действующие нормативы требуют обеспечения степени очистки не менее 99,5-99,8%.</w:t>
      </w:r>
    </w:p>
    <w:p>
      <w:pPr>
        <w:jc w:val="both"/>
        <w:ind w:firstLine="708"/>
        <w:spacing w:line="360" w:lineRule="auto"/>
      </w:pPr>
      <w:r>
        <w:rPr>
          <w:rFonts w:ascii="Times New Roman" w:hAnsi="Times New Roman"/>
          <w:sz w:val="28"/>
        </w:rPr>
        <w:t xml:space="preserve">Выбросы серосодержащих соединений в атмосферу с хвостовыми газами составляют 40-65 кг/ч в пересчете на SO₂, что при существующих объемах переработки кислого газа приводит к годовым выбросам на уровне 350-570 тонн. Данные значения существенно превышают установленные нормативы предельно допустимых выбросов (ПДВ) для предприятия, что влечет за собой необходимость уплаты повышенных экологических платежей и создает риски наложения административных санкций со стороны природоохранных органов. Исследования качества воздуха в промышленных зонах подтверждают, что выбросы сероводорода и диоксида серы от промышленных объектов значительно ухудшают экологическую обстановку</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Моральный и физический износ оборудования также является критическим фактором. Каталитические реакторы и конденсаторы серы эксплуатируются с момента ввода установки в эксплуатацию и имеют значительный износ внутренних устройств. Коррозионные процессы, связанные с воздействием агрессивных сред (H₂S, SO₂, пары серы), привели к утонению стенок аппаратов на 15-30% от первоначальной толщины. Это создает угрозу нарушения герметичности оборудования и возникновения аварийных ситуаций.</w:t>
      </w:r>
    </w:p>
    <w:p>
      <w:pPr>
        <w:jc w:val="both"/>
        <w:ind w:firstLine="708"/>
        <w:spacing w:line="360" w:lineRule="auto"/>
      </w:pPr>
      <w:r>
        <w:rPr>
          <w:rFonts w:ascii="Times New Roman" w:hAnsi="Times New Roman"/>
          <w:sz w:val="28"/>
        </w:rPr>
        <w:t xml:space="preserve">Эффективность катализатора в реакторах снизилась до 65-75% от номинальной вследствие его отравления примесями, содержащимися в кислом газе (аммиак, цианистый водород, органические соединения), а также механического разрушения гранул. Частичные замены катализатора, проводимые в период плановых остановок, не решают проблему в полной мере, так как конструкция реакторов не обеспечивает равномерного распределения газового потока по сечению аппарата, что приводит к образованию застойных зон и снижению общей эффективности процесса.</w:t>
      </w:r>
    </w:p>
    <w:p>
      <w:pPr>
        <w:jc w:val="both"/>
        <w:ind w:firstLine="708"/>
        <w:spacing w:line="360" w:lineRule="auto"/>
      </w:pPr>
      <w:r>
        <w:rPr>
          <w:rFonts w:ascii="Times New Roman" w:hAnsi="Times New Roman"/>
          <w:sz w:val="28"/>
        </w:rPr>
        <w:t xml:space="preserve">Система автоматического контроля и управления технологическим процессом устарела и не позволяет обеспечить оптимальный режим работы установки. Отсутствие современных средств аналитического контроля состава газовых потоков затрудняет оперативное регулирование соотношения H₂S:O₂ в термической секции, что приводит к отклонениям от оптимального режима и снижению степени конверсии сероводорода.</w:t>
      </w:r>
    </w:p>
    <w:p>
      <w:pPr>
        <w:jc w:val="both"/>
        <w:ind w:firstLine="708"/>
        <w:spacing w:line="360" w:lineRule="auto"/>
      </w:pPr>
      <w:r>
        <w:rPr>
          <w:rFonts w:ascii="Times New Roman" w:hAnsi="Times New Roman"/>
          <w:sz w:val="28"/>
        </w:rPr>
        <w:t xml:space="preserve">Энергетическая эффективность установки также требует улучшения. Существующая схема не предусматривает глубокой утилизации тепла хвостовых газов после инсинератора, что приводит к потерям тепловой энергии порядка 3,5-4,5 МВт. Модернизация системы теплообмена позволила бы существенно снизить энергозатраты на обогрев технологических потоков и выработать дополнительное количество водяного пара.</w:t>
      </w:r>
    </w:p>
    <w:p>
      <w:pPr>
        <w:jc w:val="both"/>
        <w:ind w:firstLine="708"/>
        <w:spacing w:line="360" w:lineRule="auto"/>
      </w:pPr>
      <w:r>
        <w:rPr>
          <w:rFonts w:ascii="Times New Roman" w:hAnsi="Times New Roman"/>
          <w:sz w:val="28"/>
        </w:rPr>
        <w:t xml:space="preserve">Основные недостатки действующей системы систематизированы в следующей таблице:</w:t>
      </w:r>
    </w:p>
    <w:p>
      <w:pPr>
        <w:jc w:val="center"/>
        <w:spacing w:after="120"/>
      </w:pPr>
      <w:r>
        <w:rPr>
          <w:rFonts w:ascii="Times New Roman" w:hAnsi="Times New Roman"/>
          <w:sz w:val="24"/>
          <w:b/>
        </w:rPr>
        <w:t>Таблица 3. Выявленные недостатки существующей системы утилизации сероводорода</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Категория недостатка</w:t>
            </w:r>
          </w:p>
        </w:tc>
        <w:tc>
          <w:tcPr>
            <w:vAlign w:val="center"/>
          </w:tcPr>
          <w:p>
            <w:pPr>
              <w:jc w:val="center"/>
            </w:pPr>
            <w:r>
              <w:rPr>
                <w:rFonts w:ascii="Times New Roman"/>
                <w:sz w:val="24"/>
                <w:b/>
              </w:rPr>
              <w:t>Описание проблемы</w:t>
            </w:r>
          </w:p>
        </w:tc>
        <w:tc>
          <w:tcPr>
            <w:vAlign w:val="center"/>
          </w:tcPr>
          <w:p>
            <w:pPr>
              <w:jc w:val="center"/>
            </w:pPr>
            <w:r>
              <w:rPr>
                <w:rFonts w:ascii="Times New Roman"/>
                <w:sz w:val="24"/>
                <w:b/>
              </w:rPr>
              <w:t>Последствия</w:t>
            </w:r>
          </w:p>
        </w:tc>
      </w:tr>
      <w:tr>
        <w:tc>
          <w:tcPr>
            <w:vAlign w:val="center"/>
          </w:tcPr>
          <w:p>
            <w:pPr>
              <w:jc w:val="center"/>
            </w:pPr>
            <w:r>
              <w:rPr>
                <w:rFonts w:ascii="Times New Roman"/>
                <w:sz w:val="24"/>
              </w:rPr>
              <w:t>Экологические показатели</w:t>
            </w:r>
          </w:p>
        </w:tc>
        <w:tc>
          <w:tcPr>
            <w:vAlign w:val="center"/>
          </w:tcPr>
          <w:p>
            <w:pPr>
              <w:jc w:val="center"/>
            </w:pPr>
            <w:r>
              <w:rPr>
                <w:rFonts w:ascii="Times New Roman"/>
                <w:sz w:val="24"/>
              </w:rPr>
              <w:t>Степень извлечения серы 94-96% при требуемых 99,5%</w:t>
            </w:r>
          </w:p>
        </w:tc>
        <w:tc>
          <w:tcPr>
            <w:vAlign w:val="center"/>
          </w:tcPr>
          <w:p>
            <w:pPr>
              <w:jc w:val="center"/>
            </w:pPr>
            <w:r>
              <w:rPr>
                <w:rFonts w:ascii="Times New Roman"/>
                <w:sz w:val="24"/>
              </w:rPr>
              <w:t>Превышение ПДВ, экологические платежи, штрафные санкции</w:t>
            </w:r>
          </w:p>
        </w:tc>
      </w:tr>
      <w:tr>
        <w:tc>
          <w:tcPr>
            <w:vAlign w:val="center"/>
          </w:tcPr>
          <w:p>
            <w:pPr>
              <w:jc w:val="center"/>
            </w:pPr>
            <w:r>
              <w:rPr>
                <w:rFonts w:ascii="Times New Roman"/>
                <w:sz w:val="24"/>
              </w:rPr>
              <w:t>Состояние оборудования</w:t>
            </w:r>
          </w:p>
        </w:tc>
        <w:tc>
          <w:tcPr>
            <w:vAlign w:val="center"/>
          </w:tcPr>
          <w:p>
            <w:pPr>
              <w:jc w:val="center"/>
            </w:pPr>
            <w:r>
              <w:rPr>
                <w:rFonts w:ascii="Times New Roman"/>
                <w:sz w:val="24"/>
              </w:rPr>
              <w:t>Износ аппаратов 15-30%, коррозия, усталость металла</w:t>
            </w:r>
          </w:p>
        </w:tc>
        <w:tc>
          <w:tcPr>
            <w:vAlign w:val="center"/>
          </w:tcPr>
          <w:p>
            <w:pPr>
              <w:jc w:val="center"/>
            </w:pPr>
            <w:r>
              <w:rPr>
                <w:rFonts w:ascii="Times New Roman"/>
                <w:sz w:val="24"/>
              </w:rPr>
              <w:t>Риск аварийных ситуаций, снижение надежности</w:t>
            </w:r>
          </w:p>
        </w:tc>
      </w:tr>
      <w:tr>
        <w:tc>
          <w:tcPr>
            <w:vAlign w:val="center"/>
          </w:tcPr>
          <w:p>
            <w:pPr>
              <w:jc w:val="center"/>
            </w:pPr>
            <w:r>
              <w:rPr>
                <w:rFonts w:ascii="Times New Roman"/>
                <w:sz w:val="24"/>
              </w:rPr>
              <w:t>Эффективность катализатора</w:t>
            </w:r>
          </w:p>
        </w:tc>
        <w:tc>
          <w:tcPr>
            <w:vAlign w:val="center"/>
          </w:tcPr>
          <w:p>
            <w:pPr>
              <w:jc w:val="center"/>
            </w:pPr>
            <w:r>
              <w:rPr>
                <w:rFonts w:ascii="Times New Roman"/>
                <w:sz w:val="24"/>
              </w:rPr>
              <w:t>Активность снижена до 65-75% от номинальной</w:t>
            </w:r>
          </w:p>
        </w:tc>
        <w:tc>
          <w:tcPr>
            <w:vAlign w:val="center"/>
          </w:tcPr>
          <w:p>
            <w:pPr>
              <w:jc w:val="center"/>
            </w:pPr>
            <w:r>
              <w:rPr>
                <w:rFonts w:ascii="Times New Roman"/>
                <w:sz w:val="24"/>
              </w:rPr>
              <w:t>Недостаточная конверсия H₂S, рост выбросов</w:t>
            </w:r>
          </w:p>
        </w:tc>
      </w:tr>
      <w:tr>
        <w:tc>
          <w:tcPr>
            <w:vAlign w:val="center"/>
          </w:tcPr>
          <w:p>
            <w:pPr>
              <w:jc w:val="center"/>
            </w:pPr>
            <w:r>
              <w:rPr>
                <w:rFonts w:ascii="Times New Roman"/>
                <w:sz w:val="24"/>
              </w:rPr>
              <w:t>Система управления</w:t>
            </w:r>
          </w:p>
        </w:tc>
        <w:tc>
          <w:tcPr>
            <w:vAlign w:val="center"/>
          </w:tcPr>
          <w:p>
            <w:pPr>
              <w:jc w:val="center"/>
            </w:pPr>
            <w:r>
              <w:rPr>
                <w:rFonts w:ascii="Times New Roman"/>
                <w:sz w:val="24"/>
              </w:rPr>
              <w:t>Устаревшие средства КИПиА, отсутствие онлайн-анализаторов</w:t>
            </w:r>
          </w:p>
        </w:tc>
        <w:tc>
          <w:tcPr>
            <w:vAlign w:val="center"/>
          </w:tcPr>
          <w:p>
            <w:pPr>
              <w:jc w:val="center"/>
            </w:pPr>
            <w:r>
              <w:rPr>
                <w:rFonts w:ascii="Times New Roman"/>
                <w:sz w:val="24"/>
              </w:rPr>
              <w:t>Невозможность оптимизации режима, отклонения параметров</w:t>
            </w:r>
          </w:p>
        </w:tc>
      </w:tr>
      <w:tr>
        <w:tc>
          <w:tcPr>
            <w:vAlign w:val="center"/>
          </w:tcPr>
          <w:p>
            <w:pPr>
              <w:jc w:val="center"/>
            </w:pPr>
            <w:r>
              <w:rPr>
                <w:rFonts w:ascii="Times New Roman"/>
                <w:sz w:val="24"/>
              </w:rPr>
              <w:t>Энергоэффективность</w:t>
            </w:r>
          </w:p>
        </w:tc>
        <w:tc>
          <w:tcPr>
            <w:vAlign w:val="center"/>
          </w:tcPr>
          <w:p>
            <w:pPr>
              <w:jc w:val="center"/>
            </w:pPr>
            <w:r>
              <w:rPr>
                <w:rFonts w:ascii="Times New Roman"/>
                <w:sz w:val="24"/>
              </w:rPr>
              <w:t>Потери тепла 3,5-4,5 МВт с хвостовыми газами</w:t>
            </w:r>
          </w:p>
        </w:tc>
        <w:tc>
          <w:tcPr>
            <w:vAlign w:val="center"/>
          </w:tcPr>
          <w:p>
            <w:pPr>
              <w:jc w:val="center"/>
            </w:pPr>
            <w:r>
              <w:rPr>
                <w:rFonts w:ascii="Times New Roman"/>
                <w:sz w:val="24"/>
              </w:rPr>
              <w:t>Повышенный расход энергоресурсов, снижение рентабельности</w:t>
            </w:r>
          </w:p>
        </w:tc>
      </w:tr>
      <w:tr>
        <w:tc>
          <w:tcPr>
            <w:vAlign w:val="center"/>
          </w:tcPr>
          <w:p>
            <w:pPr>
              <w:jc w:val="center"/>
            </w:pPr>
            <w:r>
              <w:rPr>
                <w:rFonts w:ascii="Times New Roman"/>
                <w:sz w:val="24"/>
              </w:rPr>
              <w:t>Надежность</w:t>
            </w:r>
          </w:p>
        </w:tc>
        <w:tc>
          <w:tcPr>
            <w:vAlign w:val="center"/>
          </w:tcPr>
          <w:p>
            <w:pPr>
              <w:jc w:val="center"/>
            </w:pPr>
            <w:r>
              <w:rPr>
                <w:rFonts w:ascii="Times New Roman"/>
                <w:sz w:val="24"/>
              </w:rPr>
              <w:t>Частые внеплановые остановки (8-12 раз в год)</w:t>
            </w:r>
          </w:p>
        </w:tc>
        <w:tc>
          <w:tcPr>
            <w:vAlign w:val="center"/>
          </w:tcPr>
          <w:p>
            <w:pPr>
              <w:jc w:val="center"/>
            </w:pPr>
            <w:r>
              <w:rPr>
                <w:rFonts w:ascii="Times New Roman"/>
                <w:sz w:val="24"/>
              </w:rPr>
              <w:t>Потери производства, дополнительные затраты на ремонты</w:t>
            </w:r>
          </w:p>
        </w:tc>
      </w:tr>
    </w:tbl>
    <w:p>
      <w:r>
        <w:t/>
      </w:r>
    </w:p>
    <w:p>
      <w:pPr>
        <w:jc w:val="both"/>
        <w:ind w:firstLine="708"/>
        <w:spacing w:line="360" w:lineRule="auto"/>
      </w:pPr>
      <w:r>
        <w:rPr>
          <w:rFonts w:ascii="Times New Roman" w:hAnsi="Times New Roman"/>
          <w:sz w:val="28"/>
        </w:rPr>
        <w:t xml:space="preserve">Анализ статистики отказов оборудования показывает, что в течение последних трех лет количество внеплановых остановок установки составляло 8-12 раз в год с общей продолжительностью простоя 180-250 часов. Основными причинами остановок являлись: прогары труб котла-утилизатора (35% случаев), нарушение герметичности фланцевых соединений (25%), засорение конденсаторов серы (20%), отказы арматуры и контрольно-измерительных приборов (20%).</w:t>
      </w:r>
    </w:p>
    <w:p>
      <w:pPr>
        <w:jc w:val="both"/>
        <w:ind w:firstLine="708"/>
        <w:spacing w:line="360" w:lineRule="auto"/>
      </w:pPr>
      <w:r>
        <w:rPr>
          <w:rFonts w:ascii="Times New Roman" w:hAnsi="Times New Roman"/>
          <w:sz w:val="28"/>
        </w:rPr>
        <w:t xml:space="preserve">Таким образом, комплексный анализ состояния действующей системы утилизации сероводорода однозначно указывает на необходимость ее глубокой реконструкции с заменой основного оборудования, внедрением современных технологических решений и систем автоматизации. Выбор оптимальной схемы модернизации должен учитывать как экологические требования, так и экономическую целесообразность внедрения тех или иных технологий доочистки хвостовых газов.</w:t>
      </w:r>
    </w:p>
    <w:p>
      <w:pPr>
        <w:jc w:val="both"/>
        <w:ind w:firstLine="708"/>
        <w:spacing w:line="360" w:lineRule="auto"/>
      </w:pPr>
      <w:r>
        <w:rPr>
          <w:rFonts w:ascii="Times New Roman" w:hAnsi="Times New Roman"/>
          <w:sz w:val="28"/>
        </w:rPr>
        <w:t xml:space="preserve">Сероводород (H₂S) является одним из наиболее токсичных и опасных газообразных загрязнителей, образующихся в процессе переработки нефти и газа. Его присутствие в атмосферном воздухе даже в низких концентрациях представляет серьезную угрозу для здоровья человека и окружающей среды. На современных нефтеперерабатывающих и газоперерабатывающих предприятиях функционируют специализированные установки по нейтрализации и утилизации сероводорода, однако многие из них требуют модернизации для соответствия актуальным экологическим нормам и повышения эффективности переработки.</w:t>
      </w:r>
    </w:p>
    <w:p>
      <w:pPr>
        <w:pStyle w:val="Heading2"/>
        <w:spacing w:before="240" w:after="120"/>
      </w:pPr>
      <w:r>
        <w:rPr>
          <w:rFonts w:ascii="Times New Roman" w:hAnsi="Times New Roman"/>
          <w:b/>
          <w:sz w:val="28"/>
        </w:rPr>
        <w:t xml:space="preserve">Экологические и санитарно-гигиенические требования</w:t>
      </w:r>
    </w:p>
    <w:p>
      <w:pPr>
        <w:jc w:val="both"/>
        <w:ind w:firstLine="708"/>
        <w:spacing w:line="360" w:lineRule="auto"/>
      </w:pPr>
      <w:r>
        <w:rPr>
          <w:rFonts w:ascii="Times New Roman" w:hAnsi="Times New Roman"/>
          <w:sz w:val="28"/>
        </w:rPr>
        <w:t xml:space="preserve">Сероводород относится к чрезвычайно опасным веществам второго класса опасности, что обуславливает строгие требования к его содержанию в атмосферном воздухе и производственных помещениях. Предельно допустимая концентрация (ПДК) H₂S в воздухе рабочей зоны составляет 10 мг/м³ при максимально разовой концентрации и 3 мг/м³ при среднесменной экспозиции. Для атмосферного воздуха населенных мест установлены более жесткие нормативы: максимально разовая ПДК составляет 0,008 мг/м³, среднесуточная – 0,042 мг/м³.</w:t>
      </w:r>
    </w:p>
    <w:p>
      <w:pPr>
        <w:jc w:val="both"/>
        <w:ind w:firstLine="708"/>
        <w:spacing w:line="360" w:lineRule="auto"/>
      </w:pPr>
      <w:r>
        <w:rPr>
          <w:rFonts w:ascii="Times New Roman" w:hAnsi="Times New Roman"/>
          <w:sz w:val="28"/>
        </w:rPr>
        <w:t xml:space="preserve">Воздействие сероводорода на организм человека носит многофакторный характер. При концентрациях выше допустимых норм наблюдается раздражение слизистых оболочек глаз и дыхательных путей, головные боли, тошнота и общее недомогание. Исследования показывают, что длительная экспозиция даже при низких концентрациях может приводить к хроническим заболеваниям дыхательной системы и неврологическим нарушениям</w:t>
      </w:r>
      <w:hyperlink w:anchor="_Source_5">
        <w:r>
          <w:rPr>
            <w:rFonts w:ascii="Times New Roman" w:hAnsi="Times New Roman"/>
            <w:sz w:val="28"/>
            <w:rStyle w:val="Hyperlink"/>
          </w:rPr>
          <w:t>[5]</w:t>
        </w:r>
      </w:hyperlink>
      <w:r>
        <w:rPr>
          <w:rFonts w:ascii="Times New Roman" w:hAnsi="Times New Roman"/>
          <w:sz w:val="28"/>
        </w:rPr>
        <w:t xml:space="preserve">. При концентрациях более 100 мг/м³ возможны острые отравления с потерей сознания, а концентрации свыше 700 мг/м³ являются смертельными при кратковременном воздействии.</w:t>
      </w:r>
    </w:p>
    <w:p>
      <w:pPr>
        <w:jc w:val="both"/>
        <w:ind w:firstLine="708"/>
        <w:spacing w:line="360" w:lineRule="auto"/>
      </w:pPr>
      <w:r>
        <w:rPr>
          <w:rFonts w:ascii="Times New Roman" w:hAnsi="Times New Roman"/>
          <w:sz w:val="28"/>
        </w:rPr>
        <w:t xml:space="preserve">С экологической точки зрения, неконтролируемые выбросы сероводорода в атмосферу приводят к формированию кислотных осадков, деградации почвенного покрова и загрязнению водных объектов. Исследования, проведенные в районах расположения крупных промышленных объектов, демонстрируют превышение фоновых концентраций загрязняющих веществ в несколько раз</w:t>
      </w:r>
      <w:hyperlink w:anchor="_Source_5">
        <w:r>
          <w:rPr>
            <w:rFonts w:ascii="Times New Roman" w:hAnsi="Times New Roman"/>
            <w:sz w:val="28"/>
            <w:rStyle w:val="Hyperlink"/>
          </w:rPr>
          <w:t>[5]</w:t>
        </w:r>
      </w:hyperlink>
      <w:r>
        <w:rPr>
          <w:rFonts w:ascii="Times New Roman" w:hAnsi="Times New Roman"/>
          <w:sz w:val="28"/>
        </w:rPr>
        <w:t xml:space="preserve">. Окисление H₂S в атмосфере приводит к образованию диоксида серы (SO₂), который также обладает высокой токсичностью и способствует формированию фотохимического смога при взаимодействии с оксидами азота и летучими органическими соединениями.</w:t>
      </w:r>
    </w:p>
    <w:p>
      <w:pPr>
        <w:jc w:val="both"/>
        <w:ind w:firstLine="708"/>
        <w:spacing w:line="360" w:lineRule="auto"/>
      </w:pPr>
      <w:r>
        <w:rPr>
          <w:rFonts w:ascii="Times New Roman" w:hAnsi="Times New Roman"/>
          <w:sz w:val="28"/>
        </w:rPr>
        <w:t xml:space="preserve">Современные санитарно-гигиенические нормативы требуют обеспечения непрерывного мониторинга концентраций сероводорода в зонах возможного загрязнения. Системы автоматического контроля должны включать газоанализаторы с сигнализацией при превышении установленных пороговых значений. Для персонала, работающего на установках переработки сероводородсодержащих газов, обязательно использование средств индивидуальной защиты органов дыхания и регулярное проведение медицинских осмотров.</w:t>
      </w:r>
    </w:p>
    <w:p>
      <w:pPr>
        <w:jc w:val="center"/>
        <w:spacing w:after="120"/>
      </w:pPr>
      <w:r>
        <w:rPr>
          <w:rFonts w:ascii="Times New Roman" w:hAnsi="Times New Roman"/>
          <w:sz w:val="24"/>
          <w:b/>
        </w:rPr>
        <w:t>Таблица 4. Нормативы содержания сероводорода в различных средах</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Среда</w:t>
            </w:r>
          </w:p>
        </w:tc>
        <w:tc>
          <w:tcPr>
            <w:vAlign w:val="center"/>
          </w:tcPr>
          <w:p>
            <w:pPr>
              <w:jc w:val="center"/>
            </w:pPr>
            <w:r>
              <w:rPr>
                <w:rFonts w:ascii="Times New Roman"/>
                <w:sz w:val="24"/>
                <w:b/>
              </w:rPr>
              <w:t>Тип ПДК</w:t>
            </w:r>
          </w:p>
        </w:tc>
        <w:tc>
          <w:tcPr>
            <w:vAlign w:val="center"/>
          </w:tcPr>
          <w:p>
            <w:pPr>
              <w:jc w:val="center"/>
            </w:pPr>
            <w:r>
              <w:rPr>
                <w:rFonts w:ascii="Times New Roman"/>
                <w:sz w:val="24"/>
                <w:b/>
              </w:rPr>
              <w:t>Значение, мг/м³</w:t>
            </w:r>
          </w:p>
        </w:tc>
      </w:tr>
      <w:tr>
        <w:tc>
          <w:tcPr>
            <w:vAlign w:val="center"/>
          </w:tcPr>
          <w:p>
            <w:pPr>
              <w:jc w:val="center"/>
            </w:pPr>
            <w:r>
              <w:rPr>
                <w:rFonts w:ascii="Times New Roman"/>
                <w:sz w:val="24"/>
              </w:rPr>
              <w:t>Воздух рабочей зоны</w:t>
            </w:r>
          </w:p>
        </w:tc>
        <w:tc>
          <w:tcPr>
            <w:vAlign w:val="center"/>
          </w:tcPr>
          <w:p>
            <w:pPr>
              <w:jc w:val="center"/>
            </w:pPr>
            <w:r>
              <w:rPr>
                <w:rFonts w:ascii="Times New Roman"/>
                <w:sz w:val="24"/>
              </w:rPr>
              <w:t>Максимально разовая</w:t>
            </w:r>
          </w:p>
        </w:tc>
        <w:tc>
          <w:tcPr>
            <w:vAlign w:val="center"/>
          </w:tcPr>
          <w:p>
            <w:pPr>
              <w:jc w:val="center"/>
            </w:pPr>
            <w:r>
              <w:rPr>
                <w:rFonts w:ascii="Times New Roman"/>
                <w:sz w:val="24"/>
              </w:rPr>
              <w:t>10</w:t>
            </w:r>
          </w:p>
        </w:tc>
      </w:tr>
      <w:tr>
        <w:tc>
          <w:tcPr>
            <w:vAlign w:val="center"/>
          </w:tcPr>
          <w:p>
            <w:pPr>
              <w:jc w:val="center"/>
            </w:pPr>
            <w:r>
              <w:rPr>
                <w:rFonts w:ascii="Times New Roman"/>
                <w:sz w:val="24"/>
              </w:rPr>
              <w:t>Воздух рабочей зоны</w:t>
            </w:r>
          </w:p>
        </w:tc>
        <w:tc>
          <w:tcPr>
            <w:vAlign w:val="center"/>
          </w:tcPr>
          <w:p>
            <w:pPr>
              <w:jc w:val="center"/>
            </w:pPr>
            <w:r>
              <w:rPr>
                <w:rFonts w:ascii="Times New Roman"/>
                <w:sz w:val="24"/>
              </w:rPr>
              <w:t>Среднесменная</w:t>
            </w:r>
          </w:p>
        </w:tc>
        <w:tc>
          <w:tcPr>
            <w:vAlign w:val="center"/>
          </w:tcPr>
          <w:p>
            <w:pPr>
              <w:jc w:val="center"/>
            </w:pPr>
            <w:r>
              <w:rPr>
                <w:rFonts w:ascii="Times New Roman"/>
                <w:sz w:val="24"/>
              </w:rPr>
              <w:t>3</w:t>
            </w:r>
          </w:p>
        </w:tc>
      </w:tr>
      <w:tr>
        <w:tc>
          <w:tcPr>
            <w:vAlign w:val="center"/>
          </w:tcPr>
          <w:p>
            <w:pPr>
              <w:jc w:val="center"/>
            </w:pPr>
            <w:r>
              <w:rPr>
                <w:rFonts w:ascii="Times New Roman"/>
                <w:sz w:val="24"/>
              </w:rPr>
              <w:t>Атмосферный воздух</w:t>
            </w:r>
          </w:p>
        </w:tc>
        <w:tc>
          <w:tcPr>
            <w:vAlign w:val="center"/>
          </w:tcPr>
          <w:p>
            <w:pPr>
              <w:jc w:val="center"/>
            </w:pPr>
            <w:r>
              <w:rPr>
                <w:rFonts w:ascii="Times New Roman"/>
                <w:sz w:val="24"/>
              </w:rPr>
              <w:t>Максимально разовая</w:t>
            </w:r>
          </w:p>
        </w:tc>
        <w:tc>
          <w:tcPr>
            <w:vAlign w:val="center"/>
          </w:tcPr>
          <w:p>
            <w:pPr>
              <w:jc w:val="center"/>
            </w:pPr>
            <w:r>
              <w:rPr>
                <w:rFonts w:ascii="Times New Roman"/>
                <w:sz w:val="24"/>
              </w:rPr>
              <w:t>0,008</w:t>
            </w:r>
          </w:p>
        </w:tc>
      </w:tr>
      <w:tr>
        <w:tc>
          <w:tcPr>
            <w:vAlign w:val="center"/>
          </w:tcPr>
          <w:p>
            <w:pPr>
              <w:jc w:val="center"/>
            </w:pPr>
            <w:r>
              <w:rPr>
                <w:rFonts w:ascii="Times New Roman"/>
                <w:sz w:val="24"/>
              </w:rPr>
              <w:t>Атмосферный воздух</w:t>
            </w:r>
          </w:p>
        </w:tc>
        <w:tc>
          <w:tcPr>
            <w:vAlign w:val="center"/>
          </w:tcPr>
          <w:p>
            <w:pPr>
              <w:jc w:val="center"/>
            </w:pPr>
            <w:r>
              <w:rPr>
                <w:rFonts w:ascii="Times New Roman"/>
                <w:sz w:val="24"/>
              </w:rPr>
              <w:t>Среднесуточная</w:t>
            </w:r>
          </w:p>
        </w:tc>
        <w:tc>
          <w:tcPr>
            <w:vAlign w:val="center"/>
          </w:tcPr>
          <w:p>
            <w:pPr>
              <w:jc w:val="center"/>
            </w:pPr>
            <w:r>
              <w:rPr>
                <w:rFonts w:ascii="Times New Roman"/>
                <w:sz w:val="24"/>
              </w:rPr>
              <w:t>0,042</w:t>
            </w:r>
          </w:p>
        </w:tc>
      </w:tr>
    </w:tbl>
    <w:p>
      <w:r>
        <w:t/>
      </w:r>
    </w:p>
    <w:p>
      <w:pPr>
        <w:pStyle w:val="Heading2"/>
        <w:spacing w:before="240" w:after="120"/>
      </w:pPr>
      <w:r>
        <w:rPr>
          <w:rFonts w:ascii="Times New Roman" w:hAnsi="Times New Roman"/>
          <w:b/>
          <w:sz w:val="28"/>
        </w:rPr>
        <w:t xml:space="preserve">Обоснование необходимости реконструкции</w:t>
      </w:r>
    </w:p>
    <w:p>
      <w:pPr>
        <w:jc w:val="both"/>
        <w:ind w:firstLine="708"/>
        <w:spacing w:line="360" w:lineRule="auto"/>
      </w:pPr>
      <w:r>
        <w:rPr>
          <w:rFonts w:ascii="Times New Roman" w:hAnsi="Times New Roman"/>
          <w:sz w:val="28"/>
        </w:rPr>
        <w:t xml:space="preserve">Анализ существующих систем утилизации сероводорода на действующих предприятиях выявляет ряд критических проблем, требующих комплексного технического решения. Основной причиной необходимости реконструкции является моральный и физический износ оборудования, эксплуатируемого в течение нескольких десятилетий без существенной модернизации. Устаревшие технологические схемы не обеспечивают требуемой степени очистки газовых потоков, что приводит к систематическому превышению нормативов выбросов загрязняющих веществ в атмосферу.</w:t>
      </w:r>
    </w:p>
    <w:p>
      <w:pPr>
        <w:jc w:val="both"/>
        <w:ind w:firstLine="708"/>
        <w:spacing w:line="360" w:lineRule="auto"/>
      </w:pPr>
      <w:r>
        <w:rPr>
          <w:rFonts w:ascii="Times New Roman" w:hAnsi="Times New Roman"/>
          <w:sz w:val="28"/>
        </w:rPr>
        <w:t xml:space="preserve">Результаты инструментальных измерений показывают, что концентрации сероводорода и других газообразных загрязнителей в отходящих газах существующих установок могут превышать допустимые значения в 1,5–2 раза</w:t>
      </w:r>
      <w:hyperlink w:anchor="_Source_5">
        <w:r>
          <w:rPr>
            <w:rFonts w:ascii="Times New Roman" w:hAnsi="Times New Roman"/>
            <w:sz w:val="28"/>
            <w:rStyle w:val="Hyperlink"/>
          </w:rPr>
          <w:t>[5]</w:t>
        </w:r>
      </w:hyperlink>
      <w:r>
        <w:rPr>
          <w:rFonts w:ascii="Times New Roman" w:hAnsi="Times New Roman"/>
          <w:sz w:val="28"/>
        </w:rPr>
        <w:t xml:space="preserve">. Это создает угрозу для здоровья населения прилегающих территорий и персонала предприятия, а также влечет за собой штрафные санкции со стороны природоохранных органов. Дополнительным фактором является увеличение объемов перерабатываемого сырья с повышенным содержанием сернистых соединений, что приводит к перегрузке действующих мощностей.</w:t>
      </w:r>
    </w:p>
    <w:p>
      <w:pPr>
        <w:jc w:val="both"/>
        <w:ind w:firstLine="708"/>
        <w:spacing w:line="360" w:lineRule="auto"/>
      </w:pPr>
      <w:r>
        <w:rPr>
          <w:rFonts w:ascii="Times New Roman" w:hAnsi="Times New Roman"/>
          <w:sz w:val="28"/>
        </w:rPr>
        <w:t xml:space="preserve">Технико-экономический анализ демонстрирует низкую энергетическую эффективность существующих систем. Устаревшее оборудование характеризуется высоким удельным расходом энергоресурсов на тонну переработанного сероводорода, что негативно влияет на себестоимость производства и конкурентоспособность предприятия. Современные технологические решения позволяют снизить энергопотребление на 20–30% при одновременном повышении степени извлечения серы до 99,5% и более.</w:t>
      </w:r>
    </w:p>
    <w:p>
      <w:pPr>
        <w:jc w:val="both"/>
        <w:ind w:firstLine="708"/>
        <w:spacing w:line="360" w:lineRule="auto"/>
      </w:pPr>
      <w:r>
        <w:rPr>
          <w:rFonts w:ascii="Times New Roman" w:hAnsi="Times New Roman"/>
          <w:sz w:val="28"/>
        </w:rPr>
        <w:t xml:space="preserve">Изменение нормативно-правовой базы в области охраны окружающей среды устанавливает более жесткие требования к качеству очистки промышленных выбросов. Внедрение принципов наилучших доступных технологий (НДТ) требует перехода на современные каталитические процессы с высокой селективностью и эффективностью конверсии. Реконструкция узла утилизации сероводорода с применением оптимальной технологической схемы (Claus, SCOT или аминовой очистки) позволит обеспечить соответствие предприятия актуальным экологическим стандартам и создать резерв мощности для дальнейшего развития производства.</w:t>
      </w:r>
    </w:p>
    <w:p>
      <w:pPr>
        <w:jc w:val="both"/>
        <w:ind w:firstLine="708"/>
        <w:spacing w:line="360" w:lineRule="auto"/>
      </w:pPr>
      <w:r>
        <w:rPr>
          <w:rFonts w:ascii="Times New Roman" w:hAnsi="Times New Roman"/>
          <w:sz w:val="28"/>
        </w:rPr>
        <w:t xml:space="preserve">Экономическое обоснование реконструкции включает не только прямые выгоды от снижения платежей за негативное воздействие на окружающую среду, но и возможность получения дополнительной товарной продукции в виде элементарной серы или серной кислоты. Комплексная модернизация системы утилизации сероводорода является стратегически важным проектом, обеспечивающим устойчивое развитие предприятия в долгосрочной перспективе.</w:t>
      </w:r>
    </w:p>
    <w:p>
      <w:r>
        <w:t/>
      </w:r>
    </w:p>
    <w:p>
      <w:pPr>
        <w:pStyle w:val="Heading1"/>
        <w:jc w:val="center"/>
        <w:spacing w:before="240" w:after="240"/>
      </w:pPr>
      <w:r>
        <w:rPr>
          <w:rFonts w:ascii="Times New Roman" w:hAnsi="Times New Roman"/>
          <w:b/>
          <w:sz w:val="28"/>
        </w:rPr>
        <w:t xml:space="preserve">ОБЗОР И СРАВНИТЕЛЬНЫЙ АНАЛИЗ ТЕХНОЛОГИЙ УТИЛИЗАЦИИ СЕРОВОДОРОДА</w:t>
      </w:r>
    </w:p>
    <w:p>
      <w:pPr>
        <w:jc w:val="both"/>
        <w:ind w:firstLine="708"/>
        <w:spacing w:line="360" w:lineRule="auto"/>
      </w:pPr>
      <w:r>
        <w:rPr>
          <w:rFonts w:ascii="Times New Roman" w:hAnsi="Times New Roman"/>
          <w:sz w:val="28"/>
        </w:rPr>
        <w:t xml:space="preserve">Сероводород (H₂S) является одним из наиболее токсичных и коррозионно-активных компонентов, содержащихся в природном газе и продуктах нефтепереработки. Его присутствие в промышленных газовых потоках представляет серьезную угрозу для окружающей среды, здоровья персонала и целостности технологического оборудования. В связи с ужесточением экологических стандартов и требований к качеству продукции, разработка и совершенствование методов утилизации сероводорода приобретает особую актуальность для нефтегазовой отрасли.</w:t>
      </w:r>
    </w:p>
    <w:p>
      <w:pPr>
        <w:jc w:val="both"/>
        <w:ind w:firstLine="708"/>
        <w:spacing w:line="360" w:lineRule="auto"/>
      </w:pPr>
      <w:r>
        <w:rPr>
          <w:rFonts w:ascii="Times New Roman" w:hAnsi="Times New Roman"/>
          <w:sz w:val="28"/>
        </w:rPr>
        <w:t xml:space="preserve">Современные технологии переработки сероводородсодержащих газов направлены на превращение токсичного H₂S в элементарную серу или другие безопасные соединения серы, которые могут быть использованы в качестве товарной продукции или безопасно утилизированы. Среди множества разработанных методов наибольшее распространение в промышленности получили процессы, основанные на каталитическом окислении сероводорода, включая классический процесс Клауса и его модификации, а также комбинированные технологии, обеспечивающие глубокую очистку газовых потоков.</w:t>
      </w:r>
    </w:p>
    <w:p>
      <w:pPr>
        <w:jc w:val="both"/>
        <w:ind w:firstLine="708"/>
        <w:spacing w:line="360" w:lineRule="auto"/>
      </w:pPr>
      <w:r>
        <w:rPr>
          <w:rFonts w:ascii="Times New Roman" w:hAnsi="Times New Roman"/>
          <w:sz w:val="28"/>
        </w:rPr>
        <w:t xml:space="preserve">Выбор оптимальной технологии утилизации сероводорода зависит от множества факторов, включая концентрацию H₂S в исходном газе, требуемую степень очистки, объемы перерабатываемого сырья, климатические условия эксплуатации установки и экономическую целесообразность. Правильный подбор технологической схемы позволяет не только обеспечить соответствие природоохранным нормам, но и минимизировать капитальные и эксплуатационные затраты предприятия.</w:t>
      </w:r>
    </w:p>
    <w:p>
      <w:pPr>
        <w:pStyle w:val="Heading2"/>
        <w:spacing w:before="240" w:after="120"/>
      </w:pPr>
      <w:r>
        <w:rPr>
          <w:rFonts w:ascii="Times New Roman" w:hAnsi="Times New Roman"/>
          <w:b/>
          <w:sz w:val="28"/>
        </w:rPr>
        <w:t xml:space="preserve">Процесс Клауса: принцип работы, модификации и области применения</w:t>
      </w:r>
    </w:p>
    <w:p>
      <w:pPr>
        <w:jc w:val="both"/>
        <w:ind w:firstLine="708"/>
        <w:spacing w:line="360" w:lineRule="auto"/>
      </w:pPr>
      <w:r>
        <w:rPr>
          <w:rFonts w:ascii="Times New Roman" w:hAnsi="Times New Roman"/>
          <w:sz w:val="28"/>
        </w:rPr>
        <w:t xml:space="preserve">Процесс Клауса представляет собой основной промышленный метод переработки сероводорода в элементарную серу и является стандартной технологией для газоперерабатывающих и нефтеперерабатывающих предприятий по всему миру. Данный процесс был разработан в 1883 году британским химиком Карлом Фридрихом Клаусом и с тех пор претерпел значительные усовершенствования, но базовый принцип остался неизменным.</w:t>
      </w:r>
    </w:p>
    <w:p>
      <w:pPr>
        <w:jc w:val="both"/>
        <w:ind w:firstLine="708"/>
        <w:spacing w:line="360" w:lineRule="auto"/>
      </w:pPr>
      <w:r>
        <w:rPr>
          <w:rFonts w:ascii="Times New Roman" w:hAnsi="Times New Roman"/>
          <w:sz w:val="28"/>
        </w:rPr>
        <w:t xml:space="preserve">Принцип работы процесса основан на частичном окислении сероводорода до диоксида серы с последующим взаимодействием этих компонентов на катализаторе с образованием элементарной серы. Технологическая схема традиционно включает две основные стадии: термическую и каталитическую. На термической стадии примерно одна треть сероводорода окисляется кислородом воздуха при высокой температуре (900-1400°C) в печи сжигания согласно реакции: 2H₂S + 3O₂ → 2SO₂ + 2H₂O. Образующийся диоксид серы далее взаимодействует с оставшимся сероводородом с выделением элементарной серы: 2H₂S + SO₂ → 3S + 2H₂O. Эта реакция протекает частично уже в термической секции при охлаждении газов.</w:t>
      </w:r>
    </w:p>
    <w:p>
      <w:pPr>
        <w:jc w:val="both"/>
        <w:ind w:firstLine="708"/>
        <w:spacing w:line="360" w:lineRule="auto"/>
      </w:pPr>
      <w:r>
        <w:rPr>
          <w:rFonts w:ascii="Times New Roman" w:hAnsi="Times New Roman"/>
          <w:sz w:val="28"/>
        </w:rPr>
        <w:t xml:space="preserve">На каталитической стадии процесс продолжается в реакторах, заполненных катализатором на основе оксида алюминия, активированного различными добавками. Обычно используется от двух до трех каталитических ступеней, работающих при температурах 200-350°C. Между ступенями устанавливаются конденсаторы серы для удаления образующегося продукта и смещения равновесия реакции в сторону дальнейшего образования серы. Степень конверсии сероводорода в классическом процессе Клауса составляет 94-97%, что соответствует содержанию серосодержащих соединений в хвостовом газе на уровне 0,3-1,0% объемных</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Эффективность процесса Клауса в значительной степени зависит от качества используемых катализаторов. В течение десятилетий были разработаны различные типы катализаторов, отличающихся составом, структурой и механизмом действия. Традиционные катализаторы представляют собой активированный оксид алюминия с добавлением промоторов, таких как диоксид титана. Современные разработки включают модифицированные катализаторы с улучшенной устойчивостью к отравлению и более высокой активностью при пониженных температурах. Особое внимание уделяется защите катализатора от дезактивации соединениями углеводородов, аммиака и других примесей, присутствующих в кислом газе</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Существует несколько модификаций процесса Клауса, разработанных для повышения эффективности извлечения серы и расширения диапазона применимости технологии. Модифицированный процесс Клауса предусматривает предварительное окисление части сероводорода до SO₂ в отдельном реакторе или использование обогащенного кислородом воздуха для более точного контроля соотношения H₂S/SO₂. Прямоточный процесс Клауса исключает рециркуляцию газов и применяется при переработке газов с высоким содержанием H₂S. Процесс Клауса с раздельным сжиганием позволяет перерабатывать газы с различным составом путем их селективной подачи в термическую и каталитическую секции.</w:t>
      </w:r>
    </w:p>
    <w:p>
      <w:pPr>
        <w:jc w:val="both"/>
        <w:ind w:firstLine="708"/>
        <w:spacing w:line="360" w:lineRule="auto"/>
      </w:pPr>
      <w:r>
        <w:rPr>
          <w:rFonts w:ascii="Times New Roman" w:hAnsi="Times New Roman"/>
          <w:sz w:val="28"/>
        </w:rPr>
        <w:t xml:space="preserve">Для переработки газов с низким содержанием сероводорода (менее 20% объемных) разработан субдьюпойнтовый процесс Клауса (Sub-Dewpoint Claus), в котором температура в каталитических реакторах поддерживается ниже точки росы серы. Это обеспечивает конденсацию серы непосредственно на катализаторе и смещение равновесия реакции, что позволяет достичь более высокой степени конверсии. Данная модификация требует специальных катализаторов и более сложной системы регенерации, но обеспечивает повышение общей эффективности процесса до 98-99%.</w:t>
      </w:r>
    </w:p>
    <w:p>
      <w:pPr>
        <w:jc w:val="both"/>
        <w:ind w:firstLine="708"/>
        <w:spacing w:line="360" w:lineRule="auto"/>
      </w:pPr>
      <w:r>
        <w:rPr>
          <w:rFonts w:ascii="Times New Roman" w:hAnsi="Times New Roman"/>
          <w:sz w:val="28"/>
        </w:rPr>
        <w:t xml:space="preserve">Области применения процесса Клауса чрезвычайно широки и охватывают практически все сегменты нефтегазовой промышленности. На газоперерабатывающих заводах установки Клауса используются для переработки кислого газа, получаемого при аминовой очистке природного газа от сероводорода и диоксида углерода. Концентрация H₂S в таких газах обычно составляет 15-90% объемных, что является оптимальным для эффективной работы процесса. На нефтеперерабатывающих предприятиях установки утилизации сероводорода перерабатывают газы, образующиеся при гидроочистке нефтяных фракций, где концентрация H₂S может варьироваться в широких пределах в зависимости от качества сырья и типа процесса.</w:t>
      </w:r>
    </w:p>
    <w:p>
      <w:pPr>
        <w:jc w:val="both"/>
        <w:ind w:firstLine="708"/>
        <w:spacing w:line="360" w:lineRule="auto"/>
      </w:pPr>
      <w:r>
        <w:rPr>
          <w:rFonts w:ascii="Times New Roman" w:hAnsi="Times New Roman"/>
          <w:sz w:val="28"/>
        </w:rPr>
        <w:t xml:space="preserve">Процесс Клауса также находит применение в угольной промышленности для переработки коксового газа, в целлюлозно-бумажной промышленности для утилизации сероводорода из процессов варки целлюлозы, а также на предприятиях химической промышленности, производящих вискозные волокна и другие серосодержащие продукты. Использование данной технологии позволяет не только решить экологические проблемы, связанные с выбросами сероводорода, но и получить товарную серу, которая является ценным сырьем для производства серной кислоты, удобрений и других химических продуктов.</w:t>
      </w:r>
    </w:p>
    <w:p>
      <w:pPr>
        <w:jc w:val="both"/>
        <w:ind w:firstLine="708"/>
        <w:spacing w:line="360" w:lineRule="auto"/>
      </w:pPr>
      <w:r>
        <w:rPr>
          <w:rFonts w:ascii="Times New Roman" w:hAnsi="Times New Roman"/>
          <w:sz w:val="28"/>
        </w:rPr>
        <w:t xml:space="preserve">Несмотря на высокую эффективность и широкое распространение, процесс Клауса имеет определенные ограничения. Основным недостатком является то, что даже при оптимальных условиях степень конверсии не превышает 97%, что означает наличие в хвостовом газе значительных количеств серосодержащих соединений. При современных объемах переработки и ужесточающихся экологических нормах это приводит к необходимости дополнительной очистки хвостовых газов. Кроме того, эффективность процесса снижается при переработке газов с низким содержанием H₂S (менее 15%) или при наличии в сырье значительных количеств примесей, таких как углеводороды, аммиак или ароматические соединения, которые могут отравлять катализатор.</w:t>
      </w:r>
    </w:p>
    <w:p>
      <w:pPr>
        <w:pStyle w:val="Heading2"/>
        <w:spacing w:before="240" w:after="120"/>
      </w:pPr>
      <w:r>
        <w:rPr>
          <w:rFonts w:ascii="Times New Roman" w:hAnsi="Times New Roman"/>
          <w:b/>
          <w:sz w:val="28"/>
        </w:rPr>
        <w:t xml:space="preserve">Технология SCOT: описание процесса и технологические особенности</w:t>
      </w:r>
    </w:p>
    <w:p>
      <w:pPr>
        <w:jc w:val="both"/>
        <w:ind w:firstLine="708"/>
        <w:spacing w:line="360" w:lineRule="auto"/>
      </w:pPr>
      <w:r>
        <w:rPr>
          <w:rFonts w:ascii="Times New Roman" w:hAnsi="Times New Roman"/>
          <w:sz w:val="28"/>
        </w:rPr>
        <w:t xml:space="preserve">Технология SCOT (Shell Claus Off-gas Treating) была разработана компанией Shell в 1970-х годах как эффективное решение для глубокой очистки хвостовых газов установок Клауса и представляет собой одну из наиболее распространенных технологий доочистки в мировой практике. Основное назначение процесса SCOT заключается в снижении общих выбросов серосодержащих соединений до уровня, соответствующего самым строгим экологическим стандартам, при одновременном повышении общего извлечения серы до 99,5-99,9%.</w:t>
      </w:r>
    </w:p>
    <w:p>
      <w:pPr>
        <w:jc w:val="both"/>
        <w:ind w:firstLine="708"/>
        <w:spacing w:line="360" w:lineRule="auto"/>
      </w:pPr>
      <w:r>
        <w:rPr>
          <w:rFonts w:ascii="Times New Roman" w:hAnsi="Times New Roman"/>
          <w:sz w:val="28"/>
        </w:rPr>
        <w:t xml:space="preserve">Принцип работы технологии SCOT основан на каталитическом восстановлении всех серосодержащих соединений, присутствующих в хвостовом газе установки Клауса (SO₂, S, COS, CS₂), до сероводорода с последующим его абсорбцией селективным растворителем. Технологическая схема включает несколько последовательных стадий, каждая из которых выполняет определенную функцию в общем процессе очистки. Первая стадия представляет собой предварительный нагрев хвостового газа и его смешение с восстановительным газом, в качестве которого обычно используется природный газ или водород. Соотношение восстановителя к серосодержащим соединениям тщательно контролируется для обеспечения полного восстановления без избыточного расхода реагента.</w:t>
      </w:r>
    </w:p>
    <w:p>
      <w:pPr>
        <w:jc w:val="both"/>
        <w:ind w:firstLine="708"/>
        <w:spacing w:line="360" w:lineRule="auto"/>
      </w:pPr>
      <w:r>
        <w:rPr>
          <w:rFonts w:ascii="Times New Roman" w:hAnsi="Times New Roman"/>
          <w:sz w:val="28"/>
        </w:rPr>
        <w:t xml:space="preserve">На второй стадии подготовленная газовая смесь поступает в каталитический реактор гидрирования, где при температуре 280-320°C и в присутствии кобальт-молибденового катализатора протекают реакции восстановления серосодержащих соединений. Диоксид серы восстанавливается водородом до сероводорода: SO₂ + 3H₂ → H₂S + 2H₂O. Элементарная сера также гидрируется до H₂S, а карбонилсульфид и сероуглерод подвергаются гидролизу с образованием сероводорода и диоксида углерода. Эффективность конверсии в реакторе гидрирования достигает 99,5-99,8%, что обеспечивает практически полное превращение всех форм серы в сероводород</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После реактора гидрирования газовый поток охлаждается в системе теплообменников до температуры, оптимальной для процесса абсорбции (35-45°C). Охлаждение осуществляется в несколько этапов с промежуточным отделением конденсата, содержащего растворенные в воде газы и примеси. Охлажденный газ затем поступает в абсорбционную колонну, где происходит селективное поглощение сероводорода циркулирующим растворителем. В качестве абсорбента в процессе SCOT традиционно используются алканоламины, чаще всего диэтаноламин (ДЭА) или метилдиэтаноламин (МДЭА), которые обеспечивают высокую степень извлечения H₂S при относительно низком захвате диоксида углерода.</w:t>
      </w:r>
    </w:p>
    <w:p>
      <w:pPr>
        <w:jc w:val="both"/>
        <w:ind w:firstLine="708"/>
        <w:spacing w:line="360" w:lineRule="auto"/>
      </w:pPr>
      <w:r>
        <w:rPr>
          <w:rFonts w:ascii="Times New Roman" w:hAnsi="Times New Roman"/>
          <w:sz w:val="28"/>
        </w:rPr>
        <w:t xml:space="preserve">Абсорбционная колонна процесса SCOT обычно представляет собой тарельчатый или насадочный аппарат, работающий при давлении, близком к атмосферному, и температуре 35-50°C. Очищенный газ, выходящий с верха колонны, содержит менее 10 ppm серосодержащих соединений и может быть направлен на дожигание в печи или, при соответствующем качестве, выброшен непосредственно в атмосферу. Насыщенный абсорбент с низа колонны направляется на регенерацию в десорбер, где при повышенной температуре (110-130°C) и пониженном давлении происходит выделение поглощенного сероводорода. Регенерированный растворитель охлаждается и возвращается в абсорбционную колонну, замыкая цикл циркуляции.</w:t>
      </w:r>
    </w:p>
    <w:p>
      <w:pPr>
        <w:jc w:val="both"/>
        <w:ind w:firstLine="708"/>
        <w:spacing w:line="360" w:lineRule="auto"/>
      </w:pPr>
      <w:r>
        <w:rPr>
          <w:rFonts w:ascii="Times New Roman" w:hAnsi="Times New Roman"/>
          <w:sz w:val="28"/>
        </w:rPr>
        <w:t xml:space="preserve">Кислый газ, выделяющийся при регенерации абсорбента в процессе SCOT, содержит высокую концентрацию сероводорода (обычно 80-95% объемных) и возвращается на вход установки Клауса для повторной переработки. Такая интеграция обеспечивает максимальное извлечение серы из исходного сырья и минимизацию потерь. Рециркуляция кислого газа требует тщательного контроля материального баланса и может приводить к накоплению инертных компонентов в системе, что необходимо учитывать при проектировании и эксплуатации установки. В некоторых случаях предусматривается продувка части циркулирующего газа для предотвращения чрезмерного накопления балластных компонентов.</w:t>
      </w:r>
    </w:p>
    <w:p>
      <w:pPr>
        <w:jc w:val="both"/>
        <w:ind w:firstLine="708"/>
        <w:spacing w:line="360" w:lineRule="auto"/>
      </w:pPr>
      <w:r>
        <w:rPr>
          <w:rFonts w:ascii="Times New Roman" w:hAnsi="Times New Roman"/>
          <w:sz w:val="28"/>
        </w:rPr>
        <w:t xml:space="preserve">Технологические особенности процесса SCOT включают высокие требования к качеству катализатора гидрирования и абсорбента, а также необходимость точного контроля температурного режима на всех стадиях. Катализатор гидрирования чувствителен к отравлению соединениями мышьяка, хлора и других элементов, которые могут присутствовать в хвостовом газе установки Клауса. Для защиты катализатора применяются системы предварительной очистки газа или используются специальные защитные слои катализатора. Срок службы катализатора обычно составляет 3-5 лет при правильной эксплуатации, после чего требуется его замена или регенерация</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Абсорбент в процессе SCOT также требует постоянного контроля качества и периодической регенерации или замены. Основными проблемами являются деградация алканоламинов под воздействием кислорода, высоких температур и примесей в газе, а также накопление продуктов коррозии и других загрязнений. Для поддержания качества абсорбента применяется система фильтрации, удаления продуктов деградации и периодического добавления свежего растворителя. Концентрация алканоламина в растворе обычно поддерживается на уровне 20-40% масс. в зависимости от конкретных условий процесса и типа используемого амина.</w:t>
      </w:r>
    </w:p>
    <w:p>
      <w:pPr>
        <w:jc w:val="both"/>
        <w:ind w:firstLine="708"/>
        <w:spacing w:line="360" w:lineRule="auto"/>
      </w:pPr>
      <w:r>
        <w:rPr>
          <w:rFonts w:ascii="Times New Roman" w:hAnsi="Times New Roman"/>
          <w:sz w:val="28"/>
        </w:rPr>
        <w:t xml:space="preserve">Энергетические затраты процесса SCOT связаны главным образом с нагревом газа перед реактором гидрирования, регенерацией абсорбента и циркуляцией растворителя. Для снижения энергопотребления применяется развитая система рекуперации тепла, включающая теплообменники между горячими и холодными потоками, утилизацию тепла регенерации и оптимизацию схемы циркуляции. Удельный расход энергии на установке SCOT обычно составляет 0,3-0,5 Гкал на тонну извлеченной серы, что сопоставимо с энергозатратами основного процесса Клауса.</w:t>
      </w:r>
    </w:p>
    <w:p>
      <w:pPr>
        <w:jc w:val="both"/>
        <w:ind w:firstLine="708"/>
        <w:spacing w:line="360" w:lineRule="auto"/>
      </w:pPr>
      <w:r>
        <w:rPr>
          <w:rFonts w:ascii="Times New Roman" w:hAnsi="Times New Roman"/>
          <w:sz w:val="28"/>
        </w:rPr>
        <w:t xml:space="preserve">Важной особенностью технологии SCOT является её гибкость в отношении колебаний нагрузки и состава хвостового газа. Процесс способен эффективно работать при изменении концентрации серосодержащих соединений в широких пределах без существенного снижения степени очистки. Это достигается за счет регулирования расхода восстановителя, температуры в реакторе и циркуляции абсорбента. Однако значительные колебания нагрузки могут приводить к нестабильности работы системы и требуют наличия буферных емкостей и систем автоматического регулирования.</w:t>
      </w:r>
    </w:p>
    <w:p>
      <w:pPr>
        <w:jc w:val="both"/>
        <w:ind w:firstLine="708"/>
        <w:spacing w:line="360" w:lineRule="auto"/>
      </w:pPr>
      <w:r>
        <w:rPr>
          <w:rFonts w:ascii="Times New Roman" w:hAnsi="Times New Roman"/>
          <w:sz w:val="28"/>
        </w:rPr>
        <w:t xml:space="preserve">Экологические преимущества технологии SCOT заключаются в возможности достижения чрезвычайно низких выбросов серосодержащих соединений, что позволяет соответствовать самым строгим природоохранным нормам, действующим в различных странах. Общее извлечение серы в комбинированной системе Клаус-SCOT может достигать 99,9%, что соответствует содержанию серосодержащих соединений в очищенном газе менее 10 ppm. Это делает технологию SCOT предпочтительным выбором для крупных газоперерабатывающих предприятий, расположенных в густонаселенных районах или природоохранных зонах.</w:t>
      </w:r>
    </w:p>
    <w:p>
      <w:pPr>
        <w:jc w:val="both"/>
        <w:ind w:firstLine="708"/>
        <w:spacing w:line="360" w:lineRule="auto"/>
      </w:pPr>
      <w:r>
        <w:rPr>
          <w:rFonts w:ascii="Times New Roman" w:hAnsi="Times New Roman"/>
          <w:sz w:val="28"/>
        </w:rPr>
        <w:t xml:space="preserve">Экономическая эффективность внедрения технологии SCOT определяется балансом между капитальными затратами на строительство установки, эксплуатационными расходами и доходами от дополнительно извлеченной серы, а также экономией на платежах за загрязнение окружающей среды. Капитальные затраты на установку SCOT обычно составляют 20-30% от стоимости основной установки Клауса, что делает комбинированную систему экономически привлекательной для большинства крупнотоннажных производств. Эксплуатационные расходы включают затраты на восстановитель, абсорбент, катализатор, энергию и обслуживание оборудования и обычно компенсируются дополнительными доходами от увеличения выхода товарной серы.</w:t>
      </w:r>
    </w:p>
    <w:p>
      <w:pPr>
        <w:jc w:val="both"/>
        <w:ind w:firstLine="708"/>
        <w:spacing w:line="360" w:lineRule="auto"/>
      </w:pPr>
      <w:r>
        <w:rPr>
          <w:rFonts w:ascii="Times New Roman" w:hAnsi="Times New Roman"/>
          <w:sz w:val="28"/>
        </w:rPr>
        <w:t xml:space="preserve">Утилизация сероводорода является критически важной задачей для нефтегазоперерабатывающих предприятий, поскольку выбросы серосодержащих соединений представляют серьезную экологическую угрозу и нарушают требования природоохранного законодательства. Современная промышленность располагает несколькими основными технологическими подходами к переработке сероводородсодержащих газов, каждый из которых обладает специфическими преимуществами и ограничениями. Выбор оптимальной схемы утилизации зависит от множества факторов: концентрации H₂S в исходном потоке, производительности установки, требований к качеству конечной продукции и экономической целесообразности инвестиций.</w:t>
      </w:r>
    </w:p>
    <w:p>
      <w:pPr>
        <w:jc w:val="both"/>
        <w:ind w:firstLine="708"/>
        <w:spacing w:line="360" w:lineRule="auto"/>
      </w:pPr>
      <w:r>
        <w:rPr>
          <w:rFonts w:ascii="Times New Roman" w:hAnsi="Times New Roman"/>
          <w:sz w:val="28"/>
        </w:rPr>
        <w:t xml:space="preserve">Основными промышленными технологиями утилизации сероводорода являются процесс Клауса, SCOT-процесс (Shell Claus Off-gas Treating) и аминовая очистка газов. Процесс Клауса представляет собой каталитическое окисление H₂S с получением элементной серы и широко применяется при высоких концентрациях сероводорода. SCOT-процесс используется для доочистки хвостовых газов установок Клауса, обеспечивая достижение жестких экологических норм. Аминовая очистка основана на абсорбционном поглощении кислых газов растворами алканоламинов и эффективна при различных концентрациях H₂S</w:t>
      </w:r>
      <w:hyperlink w:anchor="_Source_9">
        <w:r>
          <w:rPr>
            <w:rFonts w:ascii="Times New Roman" w:hAnsi="Times New Roman"/>
            <w:sz w:val="28"/>
            <w:rStyle w:val="Hyperlink"/>
          </w:rPr>
          <w:t>[9]</w:t>
        </w:r>
      </w:hyperlink>
      <w:hyperlink w:anchor="_Source_10">
        <w:r>
          <w:rPr>
            <w:rFonts w:ascii="Times New Roman" w:hAnsi="Times New Roman"/>
            <w:sz w:val="28"/>
            <w:rStyle w:val="Hyperlink"/>
          </w:rPr>
          <w:t>[10]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Аминовая очистка газов: типы абсорбентов и схемы реализации</w:t>
      </w:r>
    </w:p>
    <w:p>
      <w:pPr>
        <w:jc w:val="both"/>
        <w:ind w:firstLine="708"/>
        <w:spacing w:line="360" w:lineRule="auto"/>
      </w:pPr>
      <w:r>
        <w:rPr>
          <w:rFonts w:ascii="Times New Roman" w:hAnsi="Times New Roman"/>
          <w:sz w:val="28"/>
        </w:rPr>
        <w:t xml:space="preserve">Аминовая очистка газов представляет собой абсорбционный процесс селективного извлечения кислых компонентов (H₂S, CO₂) из газовых потоков с использованием водных растворов алканоламинов. Метод основан на обратимой химической реакции между кислыми газами и аминогруппами, что позволяет проводить регенерацию абсорбента и многократное его использование в замкнутом цикле.</w:t>
      </w:r>
    </w:p>
    <w:p>
      <w:pPr>
        <w:jc w:val="both"/>
        <w:ind w:firstLine="708"/>
        <w:spacing w:line="360" w:lineRule="auto"/>
      </w:pPr>
      <w:r>
        <w:rPr>
          <w:rFonts w:ascii="Times New Roman" w:hAnsi="Times New Roman"/>
          <w:sz w:val="28"/>
        </w:rPr>
        <w:t xml:space="preserve">Основными типами абсорбентов, применяемых в промышленности, являются первичные, вторичные и третичные алканоламины. Моноэтаноламин (МЭА) относится к первичным аминам и характеризуется высокой реакционной способностью, что обеспечивает глубокую очистку газа до остаточных концентраций H₂S менее 4 ppm. Однако МЭА требует значительных энергозатрат на регенерацию и подвержен коррозионному воздействию при высоких концентрациях кислых газов. Диэтаноламин (ДЭА) представляет собой вторичный амин, обладающий меньшей коррозионной активностью и способностью работать при более высоких нагрузках по H₂S. Метилдиэтаноламин (МДЭА) является третичным амином с селективностью по отношению к сероводороду, что позволяет избирательно извлекать H₂S в присутствии CO₂.</w:t>
      </w:r>
    </w:p>
    <w:p>
      <w:pPr>
        <w:jc w:val="both"/>
        <w:ind w:firstLine="708"/>
        <w:spacing w:line="360" w:lineRule="auto"/>
      </w:pPr>
      <w:r>
        <w:rPr>
          <w:rFonts w:ascii="Times New Roman" w:hAnsi="Times New Roman"/>
          <w:sz w:val="28"/>
        </w:rPr>
        <w:t xml:space="preserve">Технологическая схема аминовой очистки включает две основные стадии: абсорбцию и десорбцию. В абсорбере исходный газ контактирует с холодным раствором амина противотоком, при этом H₂S и CO₂ химически связываются с абсорбентом. Насыщенный раствор направляется в десорбер (регенератор), где при повышенной температуре (110-130°C) происходит выделение кислых газов и восстановление свойств абсорбента. Регенерированный амин охлаждается и возвращается в цикл абсорбции. Концентрированный поток H₂S из десорбера может направляться на установку Клауса для получения элементной серы.</w:t>
      </w:r>
    </w:p>
    <w:p>
      <w:pPr>
        <w:jc w:val="both"/>
        <w:ind w:firstLine="708"/>
        <w:spacing w:line="360" w:lineRule="auto"/>
      </w:pPr>
      <w:r>
        <w:rPr>
          <w:rFonts w:ascii="Times New Roman" w:hAnsi="Times New Roman"/>
          <w:sz w:val="28"/>
        </w:rPr>
        <w:t xml:space="preserve">Промышленные схемы аминовой очистки различаются по конфигурации оборудования и параметрам процесса. Одноступенчатая схема представляет собой простейший вариант с единственным абсорбером и регенератором, применяемый при умеренных требованиях к степени очистки. Двухступенчатая схема включает две последовательные стадии абсорбции с использованием частично и полностью регенерированного раствора, что обеспечивает более глубокую очистку газа. Схема с разделенным потоком предусматривает подачу части регенерированного раствора в нижнюю секцию абсорбера для повышения эффективности массообмена.</w:t>
      </w:r>
    </w:p>
    <w:p>
      <w:pPr>
        <w:jc w:val="both"/>
        <w:ind w:firstLine="708"/>
        <w:spacing w:line="360" w:lineRule="auto"/>
      </w:pPr>
      <w:r>
        <w:rPr>
          <w:rFonts w:ascii="Times New Roman" w:hAnsi="Times New Roman"/>
          <w:sz w:val="28"/>
        </w:rPr>
        <w:t xml:space="preserve">Современные модификации аминовых процессов направлены на снижение энергопотребления и повышение селективности. Технология с использованием активированного МДЭА (aMDEA) включает добавление промоторов, ускоряющих кинетику абсорбции и позволяющих работать с меньшими расходами циркулирующего раствора. Процессы с двойным абсорбентом комбинируют различные типы аминов для оптимизации баланса между глубиной очистки и энергозатратами на регенерацию.</w:t>
      </w:r>
    </w:p>
    <w:p>
      <w:pPr>
        <w:jc w:val="both"/>
        <w:ind w:firstLine="708"/>
        <w:spacing w:line="360" w:lineRule="auto"/>
      </w:pPr>
      <w:r>
        <w:rPr>
          <w:rFonts w:ascii="Times New Roman" w:hAnsi="Times New Roman"/>
          <w:sz w:val="28"/>
        </w:rPr>
        <w:t xml:space="preserve">Важным аспектом эксплуатации аминовых установок является контроль качества абсорбента и предотвращение его деградации. Термическая и окислительная деградация аминов приводит к образованию коррозионно-активных продуктов и снижению абсорбционной емкости раствора. Для минимизации деградации применяются ингибиторы коррозии, системы фильтрации и рекуперации тепла, а также регулярная подпитка свежим абсорбентом.</w:t>
      </w:r>
    </w:p>
    <w:p>
      <w:pPr>
        <w:pStyle w:val="Heading2"/>
        <w:spacing w:before="240" w:after="120"/>
      </w:pPr>
      <w:r>
        <w:rPr>
          <w:rFonts w:ascii="Times New Roman" w:hAnsi="Times New Roman"/>
          <w:b/>
          <w:sz w:val="28"/>
        </w:rPr>
        <w:t xml:space="preserve">Комбинированные схемы утилизации сероводорода</w:t>
      </w:r>
    </w:p>
    <w:p>
      <w:pPr>
        <w:jc w:val="both"/>
        <w:ind w:firstLine="708"/>
        <w:spacing w:line="360" w:lineRule="auto"/>
      </w:pPr>
      <w:r>
        <w:rPr>
          <w:rFonts w:ascii="Times New Roman" w:hAnsi="Times New Roman"/>
          <w:sz w:val="28"/>
        </w:rPr>
        <w:t xml:space="preserve">Комбинированные схемы утилизации сероводорода представляют собой интеграцию нескольких технологических процессов в единую систему, обеспечивающую максимальную эффективность извлечения серы и соответствие жестким экологическим нормам. Такие схемы позволяют компенсировать недостатки отдельных методов и достичь синергетического эффекта за счет рационального распределения функций между различными стадиями обработки газовых потоков.</w:t>
      </w:r>
    </w:p>
    <w:p>
      <w:pPr>
        <w:jc w:val="both"/>
        <w:ind w:firstLine="708"/>
        <w:spacing w:line="360" w:lineRule="auto"/>
      </w:pPr>
      <w:r>
        <w:rPr>
          <w:rFonts w:ascii="Times New Roman" w:hAnsi="Times New Roman"/>
          <w:sz w:val="28"/>
        </w:rPr>
        <w:t xml:space="preserve">Наиболее распространенной комбинацией является схема «Клаус + SCOT», объединяющая каталитическое окисление сероводорода с последующей доочисткой хвостовых газов. Установка Клауса обеспечивает конверсию основной массы H₂S (95-97%) в элементную серу путем термического и каталитического окисления. Остаточные серосодержащие соединения в хвостовых газах (SO₂, H₂S, COS, CS₂) поступают на SCOT-блок, где происходит их восстановление до H₂S на кобальт-молибденовом катализаторе с последующей абсорбцией в растворе амина. Данная конфигурация позволяет достичь степени извлечения серы более 99,5% и соответствовать нормативам по выбросам SO₂ менее 250 мг/нм³</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Схема «Аминовая очистка + Клаус» применяется на предприятиях с распределенными источниками сероводородсодержащих газов различной концентрации. Первая стадия представляет собой централизованную аминовую абсорбцию, концентрирующую H₂S из нескольких технологических потоков. Кислый газ из регенератора аминовой установки, содержащий 30-70% H₂S, направляется на установку Клауса для производства товарной серы. Такая компоновка обеспечивает гибкость в обработке газов с переменным составом и оптимизирует капитальные затраты за счет единой системы конверсии H₂S в серу.</w:t>
      </w:r>
    </w:p>
    <w:p>
      <w:pPr>
        <w:jc w:val="both"/>
        <w:ind w:firstLine="708"/>
        <w:spacing w:line="360" w:lineRule="auto"/>
      </w:pPr>
      <w:r>
        <w:rPr>
          <w:rFonts w:ascii="Times New Roman" w:hAnsi="Times New Roman"/>
          <w:sz w:val="28"/>
        </w:rPr>
        <w:t xml:space="preserve">Модифицированная схема Клауса с рециркуляцией хвостовых газов (tail gas recycle, TGR) представляет собой усовершенствованный вариант классического процесса, в котором часть хвостовых газов возвращается в термическую секцию установки. Рециркуляция позволяет повысить конверсию серосодержащих соединений до 98-99% без использования дополнительных стадий доочистки. Однако данная схема требует точного контроля стехиометрического соотношения H₂S/SO₂ и может приводить к накоплению инертных компонентов в циркулирующем потоке.</w:t>
      </w:r>
    </w:p>
    <w:p>
      <w:pPr>
        <w:jc w:val="both"/>
        <w:ind w:firstLine="708"/>
        <w:spacing w:line="360" w:lineRule="auto"/>
      </w:pPr>
      <w:r>
        <w:rPr>
          <w:rFonts w:ascii="Times New Roman" w:hAnsi="Times New Roman"/>
          <w:sz w:val="28"/>
        </w:rPr>
        <w:t xml:space="preserve">Интеграция процесса Клауса с установкой производства серной кислоты образует комбинированную схему, эффективную при больших объемах переработки и наличии рынка сбыта H₂SO₄. Хвостовые газы установки Клауса, содержащие SO₂, подвергаются каталитическому окислению до SO₃ с последующей абсорбцией в концентрированной серной кислоте. Такая конфигурация обеспечивает практически полную утилизацию серы и получение дополнительного товарного продукта, но требует значительных капитальных вложений и наличия квалифицированного персонала для обслуживания сернокислотного производства</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Перспективным направлением является разработка гибридных схем, включающих мембранное разделение газов в комбинации с традиционными методами. Полимерные или керамические мембраны обеспечивают предварительное концентрирование H₂S перед подачей на каталитическую конверсию, что снижает габариты оборудования и энергопотребление. Однако высокая стоимость мембранных модулей и чувствительность к загрязнениям ограничивают широкое внедрение данной технологии в промышленных масштабах.</w:t>
      </w:r>
    </w:p>
    <w:p>
      <w:pPr>
        <w:jc w:val="both"/>
        <w:ind w:firstLine="708"/>
        <w:spacing w:line="360" w:lineRule="auto"/>
      </w:pPr>
      <w:r>
        <w:rPr>
          <w:rFonts w:ascii="Times New Roman" w:hAnsi="Times New Roman"/>
          <w:sz w:val="28"/>
        </w:rPr>
        <w:t xml:space="preserve">При проектировании комбинированных схем критически важным является оптимизация энергетической интеграции между отдельными блоками. Рекуперация тепла экзотермических реакций процесса Клауса для нагрева регенерируемого амина или предварительного подогрева питательных потоков позволяет снизить общее энергопотребление системы на 15-25%. Использование турбодетандеров для утилизации избыточного давления газовых потоков дополнительно повышает энергоэффективность комплекса.</w:t>
      </w:r>
    </w:p>
    <w:p>
      <w:pPr>
        <w:pStyle w:val="Heading2"/>
        <w:spacing w:before="240" w:after="120"/>
      </w:pPr>
      <w:r>
        <w:rPr>
          <w:rFonts w:ascii="Times New Roman" w:hAnsi="Times New Roman"/>
          <w:b/>
          <w:sz w:val="28"/>
        </w:rPr>
        <w:t xml:space="preserve">Сравнительный анализ технологий по технико-экономическим показателям</w:t>
      </w:r>
    </w:p>
    <w:p>
      <w:pPr>
        <w:jc w:val="both"/>
        <w:ind w:firstLine="708"/>
        <w:spacing w:line="360" w:lineRule="auto"/>
      </w:pPr>
      <w:r>
        <w:rPr>
          <w:rFonts w:ascii="Times New Roman" w:hAnsi="Times New Roman"/>
          <w:sz w:val="28"/>
        </w:rPr>
        <w:t xml:space="preserve">Технико-экономическое сравнение различных технологий утилизации сероводорода основывается на анализе капитальных и эксплуатационных затрат, производительности, надежности и масштабируемости процессов. Выбор оптимальной схемы определяется специфическими условиями предприятия, включая объем перерабатываемых газов, концентрацию H₂S, доступность коммунальных ресурсов и требования к качеству продукции.</w:t>
      </w:r>
    </w:p>
    <w:p>
      <w:pPr>
        <w:jc w:val="both"/>
        <w:ind w:firstLine="708"/>
        <w:spacing w:line="360" w:lineRule="auto"/>
      </w:pPr>
      <w:r>
        <w:rPr>
          <w:rFonts w:ascii="Times New Roman" w:hAnsi="Times New Roman"/>
          <w:sz w:val="28"/>
        </w:rPr>
        <w:t xml:space="preserve">Капитальные затраты на сооружение установки Клауса при производительности 50-100 тонн серы в сутки составляют 15-25 млн долларов США, что включает термическую печь, каталитические реакторы, конденсаторы серы и системы утилизации тепла. Добавление SCOT-блока для доочистки хвостовых газов увеличивает капитальные вложения на 40-60% за счет необходимости установки дополнительного реактора гидрирования, абсорбера и системы регенерации амина. Аминовая установка сопоставимой производительности требует инвестиций порядка 10-15 млн долларов, что делает ее более привлекательной при умеренных концентрациях H₂S и отсутствии необходимости производства элементной серы.</w:t>
      </w:r>
    </w:p>
    <w:p>
      <w:pPr>
        <w:jc w:val="both"/>
        <w:ind w:firstLine="708"/>
        <w:spacing w:line="360" w:lineRule="auto"/>
      </w:pPr>
      <w:r>
        <w:rPr>
          <w:rFonts w:ascii="Times New Roman" w:hAnsi="Times New Roman"/>
          <w:sz w:val="28"/>
        </w:rPr>
        <w:t xml:space="preserve">Эксплуатационные затраты определяются расходом энергоносителей, катализаторов, химических реагентов и затратами на техническое обслуживание. Процесс Клауса характеризуется низкими переменными издержками благодаря автотермичности реакций и длительному сроку службы катализаторов (2-4 года). Основные эксплуатационные расходы связаны с потреблением пара для подогрева питательного газа и электроэнергии для привода компрессоров воздуха. Аминовая очистка отличается высоким энергопотреблением на регенерацию абсорбента (1,5-2,5 ГДж на тонну циркулирующего раствора) и необходимостью регулярной подпитки свежим амином для компенсации потерь и деградации.</w:t>
      </w:r>
    </w:p>
    <w:p>
      <w:pPr>
        <w:jc w:val="center"/>
        <w:spacing w:after="120"/>
      </w:pPr>
      <w:r>
        <w:rPr>
          <w:rFonts w:ascii="Times New Roman" w:hAnsi="Times New Roman"/>
          <w:sz w:val="24"/>
          <w:b/>
        </w:rPr>
        <w:t>Таблица 5. Сравнительные технико-экономические показатели технологий утилизации H₂S</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Показатель</w:t>
            </w:r>
          </w:p>
        </w:tc>
        <w:tc>
          <w:tcPr>
            <w:vAlign w:val="center"/>
          </w:tcPr>
          <w:p>
            <w:pPr>
              <w:jc w:val="center"/>
            </w:pPr>
            <w:r>
              <w:rPr>
                <w:rFonts w:ascii="Times New Roman"/>
                <w:sz w:val="24"/>
                <w:b/>
              </w:rPr>
              <w:t>Процесс Клауса</w:t>
            </w:r>
          </w:p>
        </w:tc>
        <w:tc>
          <w:tcPr>
            <w:vAlign w:val="center"/>
          </w:tcPr>
          <w:p>
            <w:pPr>
              <w:jc w:val="center"/>
            </w:pPr>
            <w:r>
              <w:rPr>
                <w:rFonts w:ascii="Times New Roman"/>
                <w:sz w:val="24"/>
                <w:b/>
              </w:rPr>
              <w:t>Клаус + SCOT</w:t>
            </w:r>
          </w:p>
        </w:tc>
        <w:tc>
          <w:tcPr>
            <w:vAlign w:val="center"/>
          </w:tcPr>
          <w:p>
            <w:pPr>
              <w:jc w:val="center"/>
            </w:pPr>
            <w:r>
              <w:rPr>
                <w:rFonts w:ascii="Times New Roman"/>
                <w:sz w:val="24"/>
                <w:b/>
              </w:rPr>
              <w:t>Аминовая очистка</w:t>
            </w:r>
          </w:p>
        </w:tc>
      </w:tr>
      <w:tr>
        <w:tc>
          <w:tcPr>
            <w:vAlign w:val="center"/>
          </w:tcPr>
          <w:p>
            <w:pPr>
              <w:jc w:val="center"/>
            </w:pPr>
            <w:r>
              <w:rPr>
                <w:rFonts w:ascii="Times New Roman"/>
                <w:sz w:val="24"/>
              </w:rPr>
              <w:t>Капитальные затраты, млн USD</w:t>
            </w:r>
          </w:p>
        </w:tc>
        <w:tc>
          <w:tcPr>
            <w:vAlign w:val="center"/>
          </w:tcPr>
          <w:p>
            <w:pPr>
              <w:jc w:val="center"/>
            </w:pPr>
            <w:r>
              <w:rPr>
                <w:rFonts w:ascii="Times New Roman"/>
                <w:sz w:val="24"/>
              </w:rPr>
              <w:t>15-25</w:t>
            </w:r>
          </w:p>
        </w:tc>
        <w:tc>
          <w:tcPr>
            <w:vAlign w:val="center"/>
          </w:tcPr>
          <w:p>
            <w:pPr>
              <w:jc w:val="center"/>
            </w:pPr>
            <w:r>
              <w:rPr>
                <w:rFonts w:ascii="Times New Roman"/>
                <w:sz w:val="24"/>
              </w:rPr>
              <w:t>25-40</w:t>
            </w:r>
          </w:p>
        </w:tc>
        <w:tc>
          <w:tcPr>
            <w:vAlign w:val="center"/>
          </w:tcPr>
          <w:p>
            <w:pPr>
              <w:jc w:val="center"/>
            </w:pPr>
            <w:r>
              <w:rPr>
                <w:rFonts w:ascii="Times New Roman"/>
                <w:sz w:val="24"/>
              </w:rPr>
              <w:t>10-15</w:t>
            </w:r>
          </w:p>
        </w:tc>
      </w:tr>
      <w:tr>
        <w:tc>
          <w:tcPr>
            <w:vAlign w:val="center"/>
          </w:tcPr>
          <w:p>
            <w:pPr>
              <w:jc w:val="center"/>
            </w:pPr>
            <w:r>
              <w:rPr>
                <w:rFonts w:ascii="Times New Roman"/>
                <w:sz w:val="24"/>
              </w:rPr>
              <w:t>Эксплуатационные затраты, USD/т серы</w:t>
            </w:r>
          </w:p>
        </w:tc>
        <w:tc>
          <w:tcPr>
            <w:vAlign w:val="center"/>
          </w:tcPr>
          <w:p>
            <w:pPr>
              <w:jc w:val="center"/>
            </w:pPr>
            <w:r>
              <w:rPr>
                <w:rFonts w:ascii="Times New Roman"/>
                <w:sz w:val="24"/>
              </w:rPr>
              <w:t>50-80</w:t>
            </w:r>
          </w:p>
        </w:tc>
        <w:tc>
          <w:tcPr>
            <w:vAlign w:val="center"/>
          </w:tcPr>
          <w:p>
            <w:pPr>
              <w:jc w:val="center"/>
            </w:pPr>
            <w:r>
              <w:rPr>
                <w:rFonts w:ascii="Times New Roman"/>
                <w:sz w:val="24"/>
              </w:rPr>
              <w:t>80-120</w:t>
            </w:r>
          </w:p>
        </w:tc>
        <w:tc>
          <w:tcPr>
            <w:vAlign w:val="center"/>
          </w:tcPr>
          <w:p>
            <w:pPr>
              <w:jc w:val="center"/>
            </w:pPr>
            <w:r>
              <w:rPr>
                <w:rFonts w:ascii="Times New Roman"/>
                <w:sz w:val="24"/>
              </w:rPr>
              <w:t>100-150</w:t>
            </w:r>
          </w:p>
        </w:tc>
      </w:tr>
      <w:tr>
        <w:tc>
          <w:tcPr>
            <w:vAlign w:val="center"/>
          </w:tcPr>
          <w:p>
            <w:pPr>
              <w:jc w:val="center"/>
            </w:pPr>
            <w:r>
              <w:rPr>
                <w:rFonts w:ascii="Times New Roman"/>
                <w:sz w:val="24"/>
              </w:rPr>
              <w:t>Степень извлечения серы, %</w:t>
            </w:r>
          </w:p>
        </w:tc>
        <w:tc>
          <w:tcPr>
            <w:vAlign w:val="center"/>
          </w:tcPr>
          <w:p>
            <w:pPr>
              <w:jc w:val="center"/>
            </w:pPr>
            <w:r>
              <w:rPr>
                <w:rFonts w:ascii="Times New Roman"/>
                <w:sz w:val="24"/>
              </w:rPr>
              <w:t>95-97</w:t>
            </w:r>
          </w:p>
        </w:tc>
        <w:tc>
          <w:tcPr>
            <w:vAlign w:val="center"/>
          </w:tcPr>
          <w:p>
            <w:pPr>
              <w:jc w:val="center"/>
            </w:pPr>
            <w:r>
              <w:rPr>
                <w:rFonts w:ascii="Times New Roman"/>
                <w:sz w:val="24"/>
              </w:rPr>
              <w:t>99-99,8</w:t>
            </w:r>
          </w:p>
        </w:tc>
        <w:tc>
          <w:tcPr>
            <w:vAlign w:val="center"/>
          </w:tcPr>
          <w:p>
            <w:pPr>
              <w:jc w:val="center"/>
            </w:pPr>
            <w:r>
              <w:rPr>
                <w:rFonts w:ascii="Times New Roman"/>
                <w:sz w:val="24"/>
              </w:rPr>
              <w:t>98-99</w:t>
            </w:r>
          </w:p>
        </w:tc>
      </w:tr>
      <w:tr>
        <w:tc>
          <w:tcPr>
            <w:vAlign w:val="center"/>
          </w:tcPr>
          <w:p>
            <w:pPr>
              <w:jc w:val="center"/>
            </w:pPr>
            <w:r>
              <w:rPr>
                <w:rFonts w:ascii="Times New Roman"/>
                <w:sz w:val="24"/>
              </w:rPr>
              <w:t>Энергопотребление, ГДж/т серы</w:t>
            </w:r>
          </w:p>
        </w:tc>
        <w:tc>
          <w:tcPr>
            <w:vAlign w:val="center"/>
          </w:tcPr>
          <w:p>
            <w:pPr>
              <w:jc w:val="center"/>
            </w:pPr>
            <w:r>
              <w:rPr>
                <w:rFonts w:ascii="Times New Roman"/>
                <w:sz w:val="24"/>
              </w:rPr>
              <w:t>0,5-1,0</w:t>
            </w:r>
          </w:p>
        </w:tc>
        <w:tc>
          <w:tcPr>
            <w:vAlign w:val="center"/>
          </w:tcPr>
          <w:p>
            <w:pPr>
              <w:jc w:val="center"/>
            </w:pPr>
            <w:r>
              <w:rPr>
                <w:rFonts w:ascii="Times New Roman"/>
                <w:sz w:val="24"/>
              </w:rPr>
              <w:t>1,5-2,5</w:t>
            </w:r>
          </w:p>
        </w:tc>
        <w:tc>
          <w:tcPr>
            <w:vAlign w:val="center"/>
          </w:tcPr>
          <w:p>
            <w:pPr>
              <w:jc w:val="center"/>
            </w:pPr>
            <w:r>
              <w:rPr>
                <w:rFonts w:ascii="Times New Roman"/>
                <w:sz w:val="24"/>
              </w:rPr>
              <w:t>2,0-3,5</w:t>
            </w:r>
          </w:p>
        </w:tc>
      </w:tr>
      <w:tr>
        <w:tc>
          <w:tcPr>
            <w:vAlign w:val="center"/>
          </w:tcPr>
          <w:p>
            <w:pPr>
              <w:jc w:val="center"/>
            </w:pPr>
            <w:r>
              <w:rPr>
                <w:rFonts w:ascii="Times New Roman"/>
                <w:sz w:val="24"/>
              </w:rPr>
              <w:t>Срок службы катализатора, лет</w:t>
            </w:r>
          </w:p>
        </w:tc>
        <w:tc>
          <w:tcPr>
            <w:vAlign w:val="center"/>
          </w:tcPr>
          <w:p>
            <w:pPr>
              <w:jc w:val="center"/>
            </w:pPr>
            <w:r>
              <w:rPr>
                <w:rFonts w:ascii="Times New Roman"/>
                <w:sz w:val="24"/>
              </w:rPr>
              <w:t>2-4</w:t>
            </w:r>
          </w:p>
        </w:tc>
        <w:tc>
          <w:tcPr>
            <w:vAlign w:val="center"/>
          </w:tcPr>
          <w:p>
            <w:pPr>
              <w:jc w:val="center"/>
            </w:pPr>
            <w:r>
              <w:rPr>
                <w:rFonts w:ascii="Times New Roman"/>
                <w:sz w:val="24"/>
              </w:rPr>
              <w:t>1-3</w:t>
            </w:r>
          </w:p>
        </w:tc>
        <w:tc>
          <w:tcPr>
            <w:vAlign w:val="center"/>
          </w:tcPr>
          <w:p>
            <w:pPr>
              <w:jc w:val="center"/>
            </w:pPr>
            <w:r>
              <w:rPr>
                <w:rFonts w:ascii="Times New Roman"/>
                <w:sz w:val="24"/>
              </w:rPr>
              <w:t>н/п</w:t>
            </w:r>
          </w:p>
        </w:tc>
      </w:tr>
      <w:tr>
        <w:tc>
          <w:tcPr>
            <w:vAlign w:val="center"/>
          </w:tcPr>
          <w:p>
            <w:pPr>
              <w:jc w:val="center"/>
            </w:pPr>
            <w:r>
              <w:rPr>
                <w:rFonts w:ascii="Times New Roman"/>
                <w:sz w:val="24"/>
              </w:rPr>
              <w:t>Требуемая концентрация H₂S, %</w:t>
            </w:r>
          </w:p>
        </w:tc>
        <w:tc>
          <w:tcPr>
            <w:vAlign w:val="center"/>
          </w:tcPr>
          <w:p>
            <w:pPr>
              <w:jc w:val="center"/>
            </w:pPr>
            <w:r>
              <w:rPr>
                <w:rFonts w:ascii="Times New Roman"/>
                <w:sz w:val="24"/>
              </w:rPr>
              <w:t>&gt;20</w:t>
            </w:r>
          </w:p>
        </w:tc>
        <w:tc>
          <w:tcPr>
            <w:vAlign w:val="center"/>
          </w:tcPr>
          <w:p>
            <w:pPr>
              <w:jc w:val="center"/>
            </w:pPr>
            <w:r>
              <w:rPr>
                <w:rFonts w:ascii="Times New Roman"/>
                <w:sz w:val="24"/>
              </w:rPr>
              <w:t>&gt;20</w:t>
            </w:r>
          </w:p>
        </w:tc>
        <w:tc>
          <w:tcPr>
            <w:vAlign w:val="center"/>
          </w:tcPr>
          <w:p>
            <w:pPr>
              <w:jc w:val="center"/>
            </w:pPr>
            <w:r>
              <w:rPr>
                <w:rFonts w:ascii="Times New Roman"/>
                <w:sz w:val="24"/>
              </w:rPr>
              <w:t>0,1-100</w:t>
            </w:r>
          </w:p>
        </w:tc>
      </w:tr>
    </w:tbl>
    <w:p>
      <w:r>
        <w:t/>
      </w:r>
    </w:p>
    <w:p>
      <w:pPr>
        <w:jc w:val="both"/>
        <w:ind w:firstLine="708"/>
        <w:spacing w:line="360" w:lineRule="auto"/>
      </w:pPr>
      <w:r>
        <w:rPr>
          <w:rFonts w:ascii="Times New Roman" w:hAnsi="Times New Roman"/>
          <w:sz w:val="28"/>
        </w:rPr>
        <w:t xml:space="preserve">Производительность и масштабируемость технологий существенно различаются. Установки Клауса эффективны при производительности от 20 тонн серы в сутки и выше, демонстрируя положительный эффект масштаба. При меньших объемах удельные капитальные затраты резко возрастают, делая процесс экономически нецелесообразным. Аминовая очистка характеризуется большей гибкостью и может эффективно применяться в широком диапазоне производительностей от нескольких тонн до сотен тонн в сутки. Модульная конструкция аминовых установок упрощает поэтапное наращивание мощности по мере роста объемов перерабатываемых газов.</w:t>
      </w:r>
    </w:p>
    <w:p>
      <w:pPr>
        <w:jc w:val="both"/>
        <w:ind w:firstLine="708"/>
        <w:spacing w:line="360" w:lineRule="auto"/>
      </w:pPr>
      <w:r>
        <w:rPr>
          <w:rFonts w:ascii="Times New Roman" w:hAnsi="Times New Roman"/>
          <w:sz w:val="28"/>
        </w:rPr>
        <w:t xml:space="preserve">Надежность и операционная доступность установок являются критическими факторами для непрерывных производств. Процесс Клауса отличается высокой стабильностью работы при условии поддержания стехиометрического соотношения реагентов и предотвращения отложений серы на катализаторе. Типичная операционная доступность составляет 95-98% при условии качественной подготовки питательного газа. Аминовые установки подвержены большему числу эксплуатационных проблем, включая пенообразование, коррозию оборудования и деградацию абсорбента, что снижает операционную доступность до 90-93% и требует более частых остановов на профилактическое обслуживание.</w:t>
      </w:r>
    </w:p>
    <w:p>
      <w:pPr>
        <w:jc w:val="both"/>
        <w:ind w:firstLine="708"/>
        <w:spacing w:line="360" w:lineRule="auto"/>
      </w:pPr>
      <w:r>
        <w:rPr>
          <w:rFonts w:ascii="Times New Roman" w:hAnsi="Times New Roman"/>
          <w:sz w:val="28"/>
        </w:rPr>
        <w:t xml:space="preserve">Срок окупаемости инвестиций зависит от стоимости товарной серы, платежей за выбросы загрязняющих веществ и операционных издержек. При цене серы 100-150 USD за тонну и штрафах за выбросы SO₂ в размере 500-1000 USD за тонну, установка Клауса окупается за 3-5 лет, комбинированная схема Клаус + SCOT - за 4-7 лет. Аминовая очистка без последующего производства серы имеет больший срок окупаемости (5-8 лет) из-за отсутствия доходов от реализации товарной продукции и высоких эксплуатационных затрат.</w:t>
      </w:r>
    </w:p>
    <w:p>
      <w:pPr>
        <w:pStyle w:val="Heading2"/>
        <w:spacing w:before="240" w:after="120"/>
      </w:pPr>
      <w:r>
        <w:rPr>
          <w:rFonts w:ascii="Times New Roman" w:hAnsi="Times New Roman"/>
          <w:b/>
          <w:sz w:val="28"/>
        </w:rPr>
        <w:t xml:space="preserve">Анализ эффективности очистки и экологических показателей</w:t>
      </w:r>
    </w:p>
    <w:p>
      <w:pPr>
        <w:jc w:val="both"/>
        <w:ind w:firstLine="708"/>
        <w:spacing w:line="360" w:lineRule="auto"/>
      </w:pPr>
      <w:r>
        <w:rPr>
          <w:rFonts w:ascii="Times New Roman" w:hAnsi="Times New Roman"/>
          <w:sz w:val="28"/>
        </w:rPr>
        <w:t xml:space="preserve">Эффективность очистки газовых выбросов от сероводорода и серосодержащих соединений является определяющим критерием при выборе технологии утилизации, особенно в контексте ужесточающихся экологических требований и роста экологических платежей за превышение нормативов выбросов. Современные природоохранные стандарты в большинстве стран устанавливают предельно допустимые концентрации SO₂ в отходящих газах на уровне 250-500 мг/нм³, что требует обеспечения степени извлечения серы не менее 99%</w:t>
      </w:r>
      <w:hyperlink w:anchor="_Source_9">
        <w:r>
          <w:rPr>
            <w:rFonts w:ascii="Times New Roman" w:hAnsi="Times New Roman"/>
            <w:sz w:val="28"/>
            <w:rStyle w:val="Hyperlink"/>
          </w:rPr>
          <w:t>[9]</w:t>
        </w:r>
      </w:hyperlink>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Классический процесс Клауса с двумя или тремя каталитическими ступенями обеспечивает конверсию H₂S в элементную серу на уровне 95-97%, что соответствует остаточным выбросам SO₂ в диапазоне 1000-2000 мг/нм³. Такие показатели не соответствуют современным экологическим нормам и требуют установки дополнительных систем доочистки хвостовых газов. Основными факторами, ограничивающими эффективность процесса Клауса, являются термодинамическое равновесие реакции Клауса при температурах каталитических ступеней (200-350°C) и неполная конверсия побочных серосодержащих соединений (COS, CS₂).</w:t>
      </w:r>
    </w:p>
    <w:p>
      <w:pPr>
        <w:jc w:val="both"/>
        <w:ind w:firstLine="708"/>
        <w:spacing w:line="360" w:lineRule="auto"/>
      </w:pPr>
      <w:r>
        <w:rPr>
          <w:rFonts w:ascii="Times New Roman" w:hAnsi="Times New Roman"/>
          <w:sz w:val="28"/>
        </w:rPr>
        <w:t xml:space="preserve">Комбинированная схема Клаус + SCOT позволяет достичь общей степени извлечения серы 99,5-99,8%, снижая выбросы SO₂ до 100-250 мг/нм³ и обеспечивая соответствие наиболее жестким экологическим стандартам. SCOT-процесс включает восстановление всех серосодержащих соединений до H₂S на кобальт-молибденовом катализаторе в присутствии водорода, с последующей селективной абсорбцией H₂S раствором МДЭА. Концентрированный кислый газ из регенератора возвращается на вход установки Клауса, замыкая цикл утилизации серы. Критическим параметром эффективности SCOT-блока является соотношение H₂/SO₂ в питательном газе, которое должно поддерживаться на уровне 3-5 для обеспечения полного восстановления серосодержащих соединений.</w:t>
      </w:r>
    </w:p>
    <w:p>
      <w:pPr>
        <w:jc w:val="both"/>
        <w:ind w:firstLine="708"/>
        <w:spacing w:line="360" w:lineRule="auto"/>
      </w:pPr>
      <w:r>
        <w:rPr>
          <w:rFonts w:ascii="Times New Roman" w:hAnsi="Times New Roman"/>
          <w:sz w:val="28"/>
        </w:rPr>
        <w:t xml:space="preserve">Аминовая очистка обеспечивает глубокое извлечение H₂S из газовых потоков с достижением остаточных концентраций менее 4 ppm при использовании МЭА или 10-20 ppm при применении МДЭА. Однако данный метод не решает проблему утилизации сероводорода, а лишь концентрирует его в кислом газе регенератора, который требует дальнейшей переработки на установке Клауса или сжигания в факельной системе. При факельном сжигании происходит образование SO₂, что создает экологическую нагрузку и не соответствует принципам наилучших доступных технологий.</w:t>
      </w:r>
    </w:p>
    <w:p>
      <w:pPr>
        <w:jc w:val="both"/>
        <w:ind w:firstLine="708"/>
        <w:spacing w:line="360" w:lineRule="auto"/>
      </w:pPr>
      <w:r>
        <w:rPr>
          <w:rFonts w:ascii="Times New Roman" w:hAnsi="Times New Roman"/>
          <w:sz w:val="28"/>
        </w:rPr>
        <w:t xml:space="preserve">Экологические показатели технологий утилизации H₂S включают не только прямые выбросы серосодержащих соединений, но и косвенное воздействие через потребление энергии и выбросы парниковых газов. Процесс Клауса характеризуется низким углеродным следом благодаря автотермичности реакций и возможности выработки пара за счет утилизации тепла экзотермических процессов. Удельные выбросы CO₂ составляют 0,1-0,2 тонны на тонну произведенной серы. Аминовая очистка требует значительных затрат тепловой энергии на регенерацию абсорбента, что при использовании паровых котлов приводит к косвенным выбросам CO₂ в объеме 0,5-0,8 тонны на тонну извлеченной серы.</w:t>
      </w:r>
    </w:p>
    <w:p>
      <w:pPr>
        <w:jc w:val="center"/>
        <w:spacing w:after="120"/>
      </w:pPr>
      <w:r>
        <w:rPr>
          <w:rFonts w:ascii="Times New Roman" w:hAnsi="Times New Roman"/>
          <w:sz w:val="24"/>
          <w:b/>
        </w:rPr>
        <w:t>Таблица 6. Экологические показатели технологий утилизации H₂S</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Показатель</w:t>
            </w:r>
          </w:p>
        </w:tc>
        <w:tc>
          <w:tcPr>
            <w:vAlign w:val="center"/>
          </w:tcPr>
          <w:p>
            <w:pPr>
              <w:jc w:val="center"/>
            </w:pPr>
            <w:r>
              <w:rPr>
                <w:rFonts w:ascii="Times New Roman"/>
                <w:sz w:val="24"/>
                <w:b/>
              </w:rPr>
              <w:t>Клаус</w:t>
            </w:r>
          </w:p>
        </w:tc>
        <w:tc>
          <w:tcPr>
            <w:vAlign w:val="center"/>
          </w:tcPr>
          <w:p>
            <w:pPr>
              <w:jc w:val="center"/>
            </w:pPr>
            <w:r>
              <w:rPr>
                <w:rFonts w:ascii="Times New Roman"/>
                <w:sz w:val="24"/>
                <w:b/>
              </w:rPr>
              <w:t>Клаус + SCOT</w:t>
            </w:r>
          </w:p>
        </w:tc>
        <w:tc>
          <w:tcPr>
            <w:vAlign w:val="center"/>
          </w:tcPr>
          <w:p>
            <w:pPr>
              <w:jc w:val="center"/>
            </w:pPr>
            <w:r>
              <w:rPr>
                <w:rFonts w:ascii="Times New Roman"/>
                <w:sz w:val="24"/>
                <w:b/>
              </w:rPr>
              <w:t>Аминовая очистка</w:t>
            </w:r>
          </w:p>
        </w:tc>
      </w:tr>
      <w:tr>
        <w:tc>
          <w:tcPr>
            <w:vAlign w:val="center"/>
          </w:tcPr>
          <w:p>
            <w:pPr>
              <w:jc w:val="center"/>
            </w:pPr>
            <w:r>
              <w:rPr>
                <w:rFonts w:ascii="Times New Roman"/>
                <w:sz w:val="24"/>
              </w:rPr>
              <w:t>Степень извлечения серы, %</w:t>
            </w:r>
          </w:p>
        </w:tc>
        <w:tc>
          <w:tcPr>
            <w:vAlign w:val="center"/>
          </w:tcPr>
          <w:p>
            <w:pPr>
              <w:jc w:val="center"/>
            </w:pPr>
            <w:r>
              <w:rPr>
                <w:rFonts w:ascii="Times New Roman"/>
                <w:sz w:val="24"/>
              </w:rPr>
              <w:t>95-97</w:t>
            </w:r>
          </w:p>
        </w:tc>
        <w:tc>
          <w:tcPr>
            <w:vAlign w:val="center"/>
          </w:tcPr>
          <w:p>
            <w:pPr>
              <w:jc w:val="center"/>
            </w:pPr>
            <w:r>
              <w:rPr>
                <w:rFonts w:ascii="Times New Roman"/>
                <w:sz w:val="24"/>
              </w:rPr>
              <w:t>99,5-99,8</w:t>
            </w:r>
          </w:p>
        </w:tc>
        <w:tc>
          <w:tcPr>
            <w:vAlign w:val="center"/>
          </w:tcPr>
          <w:p>
            <w:pPr>
              <w:jc w:val="center"/>
            </w:pPr>
            <w:r>
              <w:rPr>
                <w:rFonts w:ascii="Times New Roman"/>
                <w:sz w:val="24"/>
              </w:rPr>
              <w:t>98-99</w:t>
            </w:r>
          </w:p>
        </w:tc>
      </w:tr>
      <w:tr>
        <w:tc>
          <w:tcPr>
            <w:vAlign w:val="center"/>
          </w:tcPr>
          <w:p>
            <w:pPr>
              <w:jc w:val="center"/>
            </w:pPr>
            <w:r>
              <w:rPr>
                <w:rFonts w:ascii="Times New Roman"/>
                <w:sz w:val="24"/>
              </w:rPr>
              <w:t>Выбросы SO₂, мг/нм³</w:t>
            </w:r>
          </w:p>
        </w:tc>
        <w:tc>
          <w:tcPr>
            <w:vAlign w:val="center"/>
          </w:tcPr>
          <w:p>
            <w:pPr>
              <w:jc w:val="center"/>
            </w:pPr>
            <w:r>
              <w:rPr>
                <w:rFonts w:ascii="Times New Roman"/>
                <w:sz w:val="24"/>
              </w:rPr>
              <w:t>1000-2000</w:t>
            </w:r>
          </w:p>
        </w:tc>
        <w:tc>
          <w:tcPr>
            <w:vAlign w:val="center"/>
          </w:tcPr>
          <w:p>
            <w:pPr>
              <w:jc w:val="center"/>
            </w:pPr>
            <w:r>
              <w:rPr>
                <w:rFonts w:ascii="Times New Roman"/>
                <w:sz w:val="24"/>
              </w:rPr>
              <w:t>100-250</w:t>
            </w:r>
          </w:p>
        </w:tc>
        <w:tc>
          <w:tcPr>
            <w:vAlign w:val="center"/>
          </w:tcPr>
          <w:p>
            <w:pPr>
              <w:jc w:val="center"/>
            </w:pPr>
            <w:r>
              <w:rPr>
                <w:rFonts w:ascii="Times New Roman"/>
                <w:sz w:val="24"/>
              </w:rPr>
              <w:t>н/п</w:t>
            </w:r>
          </w:p>
        </w:tc>
      </w:tr>
      <w:tr>
        <w:tc>
          <w:tcPr>
            <w:vAlign w:val="center"/>
          </w:tcPr>
          <w:p>
            <w:pPr>
              <w:jc w:val="center"/>
            </w:pPr>
            <w:r>
              <w:rPr>
                <w:rFonts w:ascii="Times New Roman"/>
                <w:sz w:val="24"/>
              </w:rPr>
              <w:t>Остаточный H₂S, ppm</w:t>
            </w:r>
          </w:p>
        </w:tc>
        <w:tc>
          <w:tcPr>
            <w:vAlign w:val="center"/>
          </w:tcPr>
          <w:p>
            <w:pPr>
              <w:jc w:val="center"/>
            </w:pPr>
            <w:r>
              <w:rPr>
                <w:rFonts w:ascii="Times New Roman"/>
                <w:sz w:val="24"/>
              </w:rPr>
              <w:t>н/п</w:t>
            </w:r>
          </w:p>
        </w:tc>
        <w:tc>
          <w:tcPr>
            <w:vAlign w:val="center"/>
          </w:tcPr>
          <w:p>
            <w:pPr>
              <w:jc w:val="center"/>
            </w:pPr>
            <w:r>
              <w:rPr>
                <w:rFonts w:ascii="Times New Roman"/>
                <w:sz w:val="24"/>
              </w:rPr>
              <w:t>н/п</w:t>
            </w:r>
          </w:p>
        </w:tc>
        <w:tc>
          <w:tcPr>
            <w:vAlign w:val="center"/>
          </w:tcPr>
          <w:p>
            <w:pPr>
              <w:jc w:val="center"/>
            </w:pPr>
            <w:r>
              <w:rPr>
                <w:rFonts w:ascii="Times New Roman"/>
                <w:sz w:val="24"/>
              </w:rPr>
              <w:t>4-20</w:t>
            </w:r>
          </w:p>
        </w:tc>
      </w:tr>
      <w:tr>
        <w:tc>
          <w:tcPr>
            <w:vAlign w:val="center"/>
          </w:tcPr>
          <w:p>
            <w:pPr>
              <w:jc w:val="center"/>
            </w:pPr>
            <w:r>
              <w:rPr>
                <w:rFonts w:ascii="Times New Roman"/>
                <w:sz w:val="24"/>
              </w:rPr>
              <w:t>Косвенные выбросы CO₂, т/т серы</w:t>
            </w:r>
          </w:p>
        </w:tc>
        <w:tc>
          <w:tcPr>
            <w:vAlign w:val="center"/>
          </w:tcPr>
          <w:p>
            <w:pPr>
              <w:jc w:val="center"/>
            </w:pPr>
            <w:r>
              <w:rPr>
                <w:rFonts w:ascii="Times New Roman"/>
                <w:sz w:val="24"/>
              </w:rPr>
              <w:t>0,1-0,2</w:t>
            </w:r>
          </w:p>
        </w:tc>
        <w:tc>
          <w:tcPr>
            <w:vAlign w:val="center"/>
          </w:tcPr>
          <w:p>
            <w:pPr>
              <w:jc w:val="center"/>
            </w:pPr>
            <w:r>
              <w:rPr>
                <w:rFonts w:ascii="Times New Roman"/>
                <w:sz w:val="24"/>
              </w:rPr>
              <w:t>0,3-0,5</w:t>
            </w:r>
          </w:p>
        </w:tc>
        <w:tc>
          <w:tcPr>
            <w:vAlign w:val="center"/>
          </w:tcPr>
          <w:p>
            <w:pPr>
              <w:jc w:val="center"/>
            </w:pPr>
            <w:r>
              <w:rPr>
                <w:rFonts w:ascii="Times New Roman"/>
                <w:sz w:val="24"/>
              </w:rPr>
              <w:t>0,5-0,8</w:t>
            </w:r>
          </w:p>
        </w:tc>
      </w:tr>
      <w:tr>
        <w:tc>
          <w:tcPr>
            <w:vAlign w:val="center"/>
          </w:tcPr>
          <w:p>
            <w:pPr>
              <w:jc w:val="center"/>
            </w:pPr>
            <w:r>
              <w:rPr>
                <w:rFonts w:ascii="Times New Roman"/>
                <w:sz w:val="24"/>
              </w:rPr>
              <w:t>Образование жидких отходов, м³/т серы</w:t>
            </w:r>
          </w:p>
        </w:tc>
        <w:tc>
          <w:tcPr>
            <w:vAlign w:val="center"/>
          </w:tcPr>
          <w:p>
            <w:pPr>
              <w:jc w:val="center"/>
            </w:pPr>
            <w:r>
              <w:rPr>
                <w:rFonts w:ascii="Times New Roman"/>
                <w:sz w:val="24"/>
              </w:rPr>
              <w:t>0,01-0,05</w:t>
            </w:r>
          </w:p>
        </w:tc>
        <w:tc>
          <w:tcPr>
            <w:vAlign w:val="center"/>
          </w:tcPr>
          <w:p>
            <w:pPr>
              <w:jc w:val="center"/>
            </w:pPr>
            <w:r>
              <w:rPr>
                <w:rFonts w:ascii="Times New Roman"/>
                <w:sz w:val="24"/>
              </w:rPr>
              <w:t>0,1-0,3</w:t>
            </w:r>
          </w:p>
        </w:tc>
        <w:tc>
          <w:tcPr>
            <w:vAlign w:val="center"/>
          </w:tcPr>
          <w:p>
            <w:pPr>
              <w:jc w:val="center"/>
            </w:pPr>
            <w:r>
              <w:rPr>
                <w:rFonts w:ascii="Times New Roman"/>
                <w:sz w:val="24"/>
              </w:rPr>
              <w:t>0,2-0,5</w:t>
            </w:r>
          </w:p>
        </w:tc>
      </w:tr>
    </w:tbl>
    <w:p>
      <w:r>
        <w:t/>
      </w:r>
    </w:p>
    <w:p>
      <w:pPr>
        <w:jc w:val="both"/>
        <w:ind w:firstLine="708"/>
        <w:spacing w:line="360" w:lineRule="auto"/>
      </w:pPr>
      <w:r>
        <w:rPr>
          <w:rFonts w:ascii="Times New Roman" w:hAnsi="Times New Roman"/>
          <w:sz w:val="28"/>
        </w:rPr>
        <w:t xml:space="preserve">Важным экологическим аспектом является образование жидких отходов, требующих специальной обработки и утилизации. В процессе Клауса образуются кислые конденсаты, содержащие растворенный H₂S и аммиак, объем которых составляет 0,01-0,05 м³ на тонну серы. SCOT-процесс генерирует большие объемы загрязненных стоков (0,1-0,3 м³/т серы) за счет промывки хвостовых газов и продувки аминового контура. Аминовая очистка характеризуется максимальным водопотреблением и образованием загрязненных стоков (0,2-0,5 м³/т серы), содержащих продукты деградации аминов и теплостабильные соли, что требует установки специализированных систем водоочистки.</w:t>
      </w:r>
    </w:p>
    <w:p>
      <w:pPr>
        <w:jc w:val="both"/>
        <w:ind w:firstLine="708"/>
        <w:spacing w:line="360" w:lineRule="auto"/>
      </w:pPr>
      <w:r>
        <w:rPr>
          <w:rFonts w:ascii="Times New Roman" w:hAnsi="Times New Roman"/>
          <w:sz w:val="28"/>
        </w:rPr>
        <w:t xml:space="preserve">Анализ жизненного цикла технологий утилизации H₂S показывает, что комбинированная схема Клаус + SCOT обладает наилучшими интегральными экологическими показателями, обеспечивая максимальную степень извлечения серы при умеренном потреблении энергии и образовании отходов. Однако высокие капитальные затраты ограничивают применение данной конфигурации предприятиями с большими объемами переработки и жесткими экологическими требованиями. Для малых и средних производств оптимальным компромиссом между экологической эффективностью и экономической целесообразностью может являться модифицированная установка Клауса с рециркуляцией хвостовых газов, обеспечивающая степень извлечения серы 98-99% без дополнительных стадий доочистки.</w:t>
      </w:r>
    </w:p>
    <w:p>
      <w:r>
        <w:t/>
      </w:r>
    </w:p>
    <w:p>
      <w:pPr>
        <w:pStyle w:val="Heading1"/>
        <w:jc w:val="center"/>
        <w:spacing w:before="240" w:after="240"/>
      </w:pPr>
      <w:r>
        <w:rPr>
          <w:rFonts w:ascii="Times New Roman" w:hAnsi="Times New Roman"/>
          <w:b/>
          <w:sz w:val="28"/>
        </w:rPr>
        <w:t xml:space="preserve">ВЫБОР И ОБОСНОВАНИЕ ОПТИМАЛЬНОЙ СХЕМЫ РЕКОНСТРУКЦИИ УЗЛА УТИЛИЗАЦИИ</w:t>
      </w:r>
    </w:p>
    <w:p>
      <w:pPr>
        <w:jc w:val="both"/>
        <w:ind w:firstLine="708"/>
        <w:spacing w:line="360" w:lineRule="auto"/>
      </w:pPr>
      <w:r>
        <w:rPr>
          <w:rFonts w:ascii="Times New Roman" w:hAnsi="Times New Roman"/>
          <w:sz w:val="28"/>
        </w:rPr>
        <w:t xml:space="preserve">Выбор оптимальной технологической схемы для реконструкции узла нейтрализации и утилизации сероводорода является критически важным этапом проектирования, определяющим эффективность работы установки, экономические показатели эксплуатации и уровень воздействия на окружающую среду. Современная промышленность располагает несколькими апробированными технологиями переработки сероводородсодержащих газов, каждая из которых имеет свои преимущества и ограничения применения. Основными технологическими решениями являются процесс Клауса (Claus), процесс SCOT (Shell Claus Off-gas Treating) и аминовые методы очистки. Правильный выбор схемы должен базироваться на комплексном анализе исходных данных, технико-экономических расчетах и соответствии современным экологическим требованиям.</w:t>
      </w:r>
    </w:p>
    <w:p>
      <w:pPr>
        <w:pStyle w:val="Heading2"/>
        <w:spacing w:before="240" w:after="120"/>
      </w:pPr>
      <w:r>
        <w:rPr>
          <w:rFonts w:ascii="Times New Roman" w:hAnsi="Times New Roman"/>
          <w:b/>
          <w:sz w:val="28"/>
        </w:rPr>
        <w:t xml:space="preserve">Критерии выбора технологической схемы</w:t>
      </w:r>
    </w:p>
    <w:p>
      <w:pPr>
        <w:jc w:val="both"/>
        <w:ind w:firstLine="708"/>
        <w:spacing w:line="360" w:lineRule="auto"/>
      </w:pPr>
      <w:r>
        <w:rPr>
          <w:rFonts w:ascii="Times New Roman" w:hAnsi="Times New Roman"/>
          <w:sz w:val="28"/>
        </w:rPr>
        <w:t xml:space="preserve">При выборе оптимальной технологической схемы утилизации сероводорода необходимо руководствоваться комплексом критериев, охватывающих технические, экономические и экологические аспекты. Первостепенное значение имеет степень очистки газа, которая должна соответствовать действующим нормативам по выбросам серосодержащих соединений в атмосферу. Современные экологические стандарты предъявляют жесткие требования к остаточному содержанию сероводорода и диоксида серы в отходящих газах, что делает этот критерий определяющим при выборе технологии.</w:t>
      </w:r>
    </w:p>
    <w:p>
      <w:pPr>
        <w:jc w:val="both"/>
        <w:ind w:firstLine="708"/>
        <w:spacing w:line="360" w:lineRule="auto"/>
      </w:pPr>
      <w:r>
        <w:rPr>
          <w:rFonts w:ascii="Times New Roman" w:hAnsi="Times New Roman"/>
          <w:sz w:val="28"/>
        </w:rPr>
        <w:t xml:space="preserve">Экономическая эффективность включает капитальные затраты на строительство или реконструкцию установки, операционные расходы на эксплуатацию, потребление энергоресурсов и химических реагентов, а также возможность получения товарной продукции в виде элементарной серы. Технологическая гибкость установки должна обеспечивать возможность работы при изменяющихся параметрах сырьевого потока, включая колебания концентрации сероводорода и объемов перерабатываемого газа. Надежность и безопасность эксплуатации являются неотъемлемыми требованиями, особенно при работе с токсичными и взрывоопасными веществами.</w:t>
      </w:r>
    </w:p>
    <w:p>
      <w:pPr>
        <w:jc w:val="both"/>
        <w:ind w:firstLine="708"/>
        <w:spacing w:line="360" w:lineRule="auto"/>
      </w:pPr>
      <w:r>
        <w:rPr>
          <w:rFonts w:ascii="Times New Roman" w:hAnsi="Times New Roman"/>
          <w:sz w:val="28"/>
        </w:rPr>
        <w:t xml:space="preserve">Важным критерием выступает возможность интеграции выбранной технологии в существующую инфраструктуру предприятия. Это включает наличие необходимых коммуникаций, энергоснабжения, систем автоматизации и контроля, а также квалифицированного персонала для обслуживания оборудования. Срок окупаемости инвестиций и период выхода на проектную мощность также влияют на окончательное решение о выборе схемы реконструкции.</w:t>
      </w:r>
    </w:p>
    <w:p>
      <w:pPr>
        <w:jc w:val="both"/>
        <w:ind w:firstLine="708"/>
        <w:spacing w:line="360" w:lineRule="auto"/>
      </w:pPr>
      <w:r>
        <w:rPr>
          <w:rFonts w:ascii="Times New Roman" w:hAnsi="Times New Roman"/>
          <w:sz w:val="28"/>
        </w:rPr>
        <w:t xml:space="preserve">Дополнительными факторами являются наличие апробированных инжиниринговых решений, доступность оборудования и запасных частей, опыт эксплуатации аналогичных установок в отрасли. Необходимо учитывать климатические условия региона, которые могут влиять на эффективность работы отдельных технологических процессов, особенно при низких температурах окружающей среды.</w:t>
      </w:r>
    </w:p>
    <w:p>
      <w:pPr>
        <w:pStyle w:val="Heading2"/>
        <w:spacing w:before="240" w:after="120"/>
      </w:pPr>
      <w:r>
        <w:rPr>
          <w:rFonts w:ascii="Times New Roman" w:hAnsi="Times New Roman"/>
          <w:b/>
          <w:sz w:val="28"/>
        </w:rPr>
        <w:t xml:space="preserve">Анализ состава и объемов сероводородсодержащих газов</w:t>
      </w:r>
    </w:p>
    <w:p>
      <w:pPr>
        <w:jc w:val="both"/>
        <w:ind w:firstLine="708"/>
        <w:spacing w:line="360" w:lineRule="auto"/>
      </w:pPr>
      <w:r>
        <w:rPr>
          <w:rFonts w:ascii="Times New Roman" w:hAnsi="Times New Roman"/>
          <w:sz w:val="28"/>
        </w:rPr>
        <w:t xml:space="preserve">Детальный анализ состава и объемов сероводородсодержащих газов является основой для принятия обоснованного решения о выборе технологической схемы. Состав газового потока определяет возможность применения той или иной технологии и влияет на эффективность процесса утилизации. Ключевыми параметрами для анализа являются концентрация сероводорода, содержание углекислого газа, присутствие углеводородов, аммиака, меркаптанов и других примесей, а также общий объемный расход газа.</w:t>
      </w:r>
    </w:p>
    <w:p>
      <w:pPr>
        <w:jc w:val="both"/>
        <w:ind w:firstLine="708"/>
        <w:spacing w:line="360" w:lineRule="auto"/>
      </w:pPr>
      <w:r>
        <w:rPr>
          <w:rFonts w:ascii="Times New Roman" w:hAnsi="Times New Roman"/>
          <w:sz w:val="28"/>
        </w:rPr>
        <w:t xml:space="preserve">Концентрация сероводорода в исходном газе напрямую влияет на выбор технологии. Для процесса Клауса оптимальной считается концентрация H₂S от 15% до 100% объемных. При более низких концентрациях эффективность термической ступени снижается, что требует дополнительного обогащения газа или применения модифицированных схем. Высокие концентрации сероводорода, напротив, способствуют автотермичности процесса и повышают общую эффективность конверсии серы.</w:t>
      </w:r>
    </w:p>
    <w:p>
      <w:pPr>
        <w:jc w:val="both"/>
        <w:ind w:firstLine="708"/>
        <w:spacing w:line="360" w:lineRule="auto"/>
      </w:pPr>
      <w:r>
        <w:rPr>
          <w:rFonts w:ascii="Times New Roman" w:hAnsi="Times New Roman"/>
          <w:sz w:val="28"/>
        </w:rPr>
        <w:t xml:space="preserve">Соотношение H₂S/CO₂ является критическим параметром для процесса Клауса, так как углекислый газ выступает балластным компонентом, снижающим парциальное давление реагирующих веществ и ухудшающим условия протекания реакций. При высоком содержании CO₂ может потребоваться предварительная селективная очистка газа или использование альтернативных технологий. Оптимальное соотношение H₂S/CO₂ для традиционного процесса Клауса составляет не менее 2:1.</w:t>
      </w:r>
    </w:p>
    <w:p>
      <w:pPr>
        <w:jc w:val="both"/>
        <w:ind w:firstLine="708"/>
        <w:spacing w:line="360" w:lineRule="auto"/>
      </w:pPr>
      <w:r>
        <w:rPr>
          <w:rFonts w:ascii="Times New Roman" w:hAnsi="Times New Roman"/>
          <w:sz w:val="28"/>
        </w:rPr>
        <w:t xml:space="preserve">Присутствие углеводородов в кислом газе может оказывать как положительное, так и отрицательное влияние на процесс. С одной стороны, углеводороды служат дополнительным топливом для термической ступени, способствуя поддержанию необходимой температуры реакции. С другой стороны, их избыточное содержание может приводить к образованию сажи, отложению углерода на катализаторе и снижению эффективности процесса. Особенно критично присутствие ароматических углеводородов, которые могут вызывать дезактивацию катализатора.</w:t>
      </w:r>
    </w:p>
    <w:p>
      <w:pPr>
        <w:jc w:val="both"/>
        <w:ind w:firstLine="708"/>
        <w:spacing w:line="360" w:lineRule="auto"/>
      </w:pPr>
      <w:r>
        <w:rPr>
          <w:rFonts w:ascii="Times New Roman" w:hAnsi="Times New Roman"/>
          <w:sz w:val="28"/>
        </w:rPr>
        <w:t xml:space="preserve">Аммиак представляет собой нежелательную примесь, так как он образует с серосодержащими соединениями соли аммония, которые откладываются на оборудовании и катализаторе, вызывая коррозию и снижение активности. При содержании аммиака более 0,1% объемных требуется его предварительное удаление методом водной промывки. Меркаптаны и другие органические соединения серы также могут присутствовать в кислом газе и требуют учета при проектировании схемы очистки.</w:t>
      </w:r>
    </w:p>
    <w:p>
      <w:pPr>
        <w:jc w:val="both"/>
        <w:ind w:firstLine="708"/>
        <w:spacing w:line="360" w:lineRule="auto"/>
      </w:pPr>
      <w:r>
        <w:rPr>
          <w:rFonts w:ascii="Times New Roman" w:hAnsi="Times New Roman"/>
          <w:sz w:val="28"/>
        </w:rPr>
        <w:t xml:space="preserve">Объемные расходы газа определяют масштаб установки и выбор аппаратурного оформления. Малые объемы (менее 1000 нм³/ч) могут делать нецелесообразным применение сложных многоступенчатых схем из-за высоких удельных капитальных затрат. Средние объемы (1000-10000 нм³/ч) оптимальны для традиционного процесса Клауса с двумя-тремя каталитическими ступенями. Большие объемы (более 10000 нм³/ч) позволяют применять наиболее эффективные схемы с максимальной степенью конверсии и экономически оправдывают установку дополнительных узлов доочистки хвостовых газов.</w:t>
      </w:r>
    </w:p>
    <w:p>
      <w:pPr>
        <w:jc w:val="both"/>
        <w:ind w:firstLine="708"/>
        <w:spacing w:line="360" w:lineRule="auto"/>
      </w:pPr>
      <w:r>
        <w:rPr>
          <w:rFonts w:ascii="Times New Roman" w:hAnsi="Times New Roman"/>
          <w:sz w:val="28"/>
        </w:rPr>
        <w:t xml:space="preserve">Изменчивость параметров газового потока во времени также должна учитываться при выборе схемы. Значительные колебания расхода и состава газа требуют применения технологий с широким диапазоном регулирования или установки буферных емкостей для усреднения параметров. Стабильные параметры позволяют оптимизировать режим работы установки и достигать максимальной эффективности.</w:t>
      </w:r>
    </w:p>
    <w:p>
      <w:pPr>
        <w:jc w:val="both"/>
        <w:ind w:firstLine="708"/>
        <w:spacing w:line="360" w:lineRule="auto"/>
      </w:pPr>
      <w:r>
        <w:rPr>
          <w:rFonts w:ascii="Times New Roman" w:hAnsi="Times New Roman"/>
          <w:sz w:val="28"/>
        </w:rPr>
        <w:t xml:space="preserve">Для точного определения состава газа необходимо проведение систематических аналитических измерений с использованием современных методов газовой хроматографии, масс-спектрометрии и других инструментальных методов анализа. Данные должны охватывать различные режимы работы технологических установок, являющихся источниками кислого газа, чтобы учесть все возможные вариации состава.</w:t>
      </w:r>
    </w:p>
    <w:p>
      <w:pPr>
        <w:pStyle w:val="Heading2"/>
        <w:spacing w:before="240" w:after="120"/>
      </w:pPr>
      <w:r>
        <w:rPr>
          <w:rFonts w:ascii="Times New Roman" w:hAnsi="Times New Roman"/>
          <w:b/>
          <w:sz w:val="28"/>
        </w:rPr>
        <w:t xml:space="preserve">Оценка применимости различных технологий для конкретных условий</w:t>
      </w:r>
    </w:p>
    <w:p>
      <w:pPr>
        <w:jc w:val="both"/>
        <w:ind w:firstLine="708"/>
        <w:spacing w:line="360" w:lineRule="auto"/>
      </w:pPr>
      <w:r>
        <w:rPr>
          <w:rFonts w:ascii="Times New Roman" w:hAnsi="Times New Roman"/>
          <w:sz w:val="28"/>
        </w:rPr>
        <w:t xml:space="preserve">Процесс Клауса является наиболее распространенной технологией утилизации сероводорода в промышленности благодаря высокой эффективности, надежности и экономичности. Классическая схема процесса Клауса включает термическую ступень, где происходит частичное окисление сероводорода кислородом воздуха при температуре 900-1400°C, и каталитические ступени, где оставшийся H₂S реагирует с образовавшимся SO₂ на поверхности катализатора с образованием элементарной серы. Степень конверсии серы в традиционном трехступенчатом процессе Клауса достигает 95-97%, что соответствует содержанию серосодержащих соединений в хвостовых газах на уровне 1000-3000 ppm.</w:t>
      </w:r>
    </w:p>
    <w:p>
      <w:pPr>
        <w:jc w:val="both"/>
        <w:ind w:firstLine="708"/>
        <w:spacing w:line="360" w:lineRule="auto"/>
      </w:pPr>
      <w:r>
        <w:rPr>
          <w:rFonts w:ascii="Times New Roman" w:hAnsi="Times New Roman"/>
          <w:sz w:val="28"/>
        </w:rPr>
        <w:t xml:space="preserve">Применимость процесса Клауса определяется прежде всего концентрацией сероводорода в исходном газе. При содержании H₂S выше 15-20% процесс работает в автотермическом режиме без необходимости подачи дополнительного топлива. Это обеспечивает минимальные эксплуатационные расходы и высокую энергетическую эффективность. При более низких концентрациях требуется дополнительный подогрев, что увеличивает операционные затраты и может делать процесс экономически менее привлекательным.</w:t>
      </w:r>
    </w:p>
    <w:p>
      <w:pPr>
        <w:jc w:val="both"/>
        <w:ind w:firstLine="708"/>
        <w:spacing w:line="360" w:lineRule="auto"/>
      </w:pPr>
      <w:r>
        <w:rPr>
          <w:rFonts w:ascii="Times New Roman" w:hAnsi="Times New Roman"/>
          <w:sz w:val="28"/>
        </w:rPr>
        <w:t xml:space="preserve">Модифицированные варианты процесса Клауса, такие как кислородно-обогащенный процесс или процесс с расщепленным потоком воздуха, позволяют повышать степень конверсии до 98-99%. Кислородное обогащение воздуха увеличивает концентрацию серосодержащих компонентов в газовой фазе за счет снижения балластного азота, что улучшает термодинамические условия протекания реакций на каталитических ступенях. Однако это требует установки блока разделения воздуха или подключения к внешнему источнику кислорода, что повышает капитальные и эксплуатационные затраты.</w:t>
      </w:r>
    </w:p>
    <w:p>
      <w:pPr>
        <w:jc w:val="both"/>
        <w:ind w:firstLine="708"/>
        <w:spacing w:line="360" w:lineRule="auto"/>
      </w:pPr>
      <w:r>
        <w:rPr>
          <w:rFonts w:ascii="Times New Roman" w:hAnsi="Times New Roman"/>
          <w:sz w:val="28"/>
        </w:rPr>
        <w:t xml:space="preserve">Процесс SCOT представляет собой технологию доочистки хвостовых газов установки Клауса и применяется в случаях, когда требуется достижение особо низких концентраций серосодержащих соединений в выбросах. Схема SCOT включает каталитическое восстановление всех серосодержащих компонентов хвостового газа до сероводорода с использованием водорода или углеводородного газа в качестве восстановителя, последующую абсорбцию H₂S аминовым раствором и возврат регенерированного кислого газа на вход установки Клауса. Общая степень извлечения серы в комбинированной схеме Клаус-SCOT достигает 99,5-99,9%, что соответствует остаточному содержанию серы в выбросах менее 100 ppm.</w:t>
      </w:r>
    </w:p>
    <w:p>
      <w:pPr>
        <w:jc w:val="both"/>
        <w:ind w:firstLine="708"/>
        <w:spacing w:line="360" w:lineRule="auto"/>
      </w:pPr>
      <w:r>
        <w:rPr>
          <w:rFonts w:ascii="Times New Roman" w:hAnsi="Times New Roman"/>
          <w:sz w:val="28"/>
        </w:rPr>
        <w:t xml:space="preserve">Применение процесса SCOT оправдано при высоких требованиях к экологическим показателям, больших объемах перерабатываемого газа, когда стоимость потерянной серы становится значимой, и при необходимости соответствия строгим региональным нормативам по выбросам. Основными недостатками являются высокие капитальные затраты, сложность эксплуатации, потребление водорода или топливного газа, расход аминового раствора и необходимость квалифицированного персонала. Процесс SCOT также чувствителен к составу хвостового газа и требует стабильных условий работы предшествующей установки Клауса.</w:t>
      </w:r>
    </w:p>
    <w:p>
      <w:pPr>
        <w:jc w:val="both"/>
        <w:ind w:firstLine="708"/>
        <w:spacing w:line="360" w:lineRule="auto"/>
      </w:pPr>
      <w:r>
        <w:rPr>
          <w:rFonts w:ascii="Times New Roman" w:hAnsi="Times New Roman"/>
          <w:sz w:val="28"/>
        </w:rPr>
        <w:t xml:space="preserve">Аминовые методы очистки газа от сероводорода основаны на химической абсорбции H₂S растворами алканоламинов с последующей регенерацией раствора и выделением концентрированного кислого газа. Наиболее распространенными абсорбентами являются моноэтаноламин (МЭА), диэтаноламин (ДЭА), метилдиэтаноламин (МДЭА) и их смеси. Аминовая очистка обеспечивает высокую степень извлечения сероводорода (до 99,9%) и может применяться при низких концентрациях H₂S в исходном газе, что делает ее привлекательной для обработки больших объемов газа с малым содержанием сероводорода.</w:t>
      </w:r>
    </w:p>
    <w:p>
      <w:pPr>
        <w:jc w:val="both"/>
        <w:ind w:firstLine="708"/>
        <w:spacing w:line="360" w:lineRule="auto"/>
      </w:pPr>
      <w:r>
        <w:rPr>
          <w:rFonts w:ascii="Times New Roman" w:hAnsi="Times New Roman"/>
          <w:sz w:val="28"/>
        </w:rPr>
        <w:t xml:space="preserve">Применимость аминовой очистки в качестве основного метода утилизации сероводорода ограничена необходимостью последующей переработки выделенного кислого газа, который обычно направляется на установку Клауса. Таким образом, аминовая очистка чаще выступает как предварительная ступень подготовки газа или как метод доочистки, а не как самостоятельная технология утилизации. Исключением являются случаи, когда объемы кислого газа невелики и его можно сжигать в факельной системе с соблюдением экологических норм, либо когда имеется возможность закачки кислого газа в подземные горизонты.</w:t>
      </w:r>
    </w:p>
    <w:p>
      <w:pPr>
        <w:jc w:val="both"/>
        <w:ind w:firstLine="708"/>
        <w:spacing w:line="360" w:lineRule="auto"/>
      </w:pPr>
      <w:r>
        <w:rPr>
          <w:rFonts w:ascii="Times New Roman" w:hAnsi="Times New Roman"/>
          <w:sz w:val="28"/>
        </w:rPr>
        <w:t xml:space="preserve">Выбор между различными технологиями должен основываться на комплексном технико-экономическом анализе с учетом специфики конкретного проекта. Для средних и крупных установок с высокой концентрацией сероводорода оптимальным решением обычно является процесс Клауса, возможно с модификациями для повышения степени конверсии. При необходимости достижения особо низких выбросов к процессу Клауса добавляется блок доочистки хвостовых газов по технологии SCOT или альтернативным методам. Аминовая очистка целесообразна для предварительной концентрации сероводорода из больших объемов газа с низким содержанием H₂S или для финишной доочистки товарных газовых потоков.</w:t>
      </w:r>
    </w:p>
    <w:p>
      <w:pPr>
        <w:jc w:val="both"/>
        <w:ind w:firstLine="708"/>
        <w:spacing w:line="360" w:lineRule="auto"/>
      </w:pPr>
      <w:r>
        <w:rPr>
          <w:rFonts w:ascii="Times New Roman" w:hAnsi="Times New Roman"/>
          <w:sz w:val="28"/>
        </w:rPr>
        <w:t xml:space="preserve">Важным фактором является также наличие инфраструктуры и опыта эксплуатации определенных технологий на предприятии. Если на производственной площадке уже функционируют аминовые установки, интеграция дополнительных мощностей по этой технологии может быть более экономичной и технологически обоснованной. Аналогично, наличие установки Клауса делает целесообразным ее модернизацию и расширение вместо строительства принципиально новых мощностей по альтернативным технологиям.</w:t>
      </w:r>
    </w:p>
    <w:p>
      <w:pPr>
        <w:jc w:val="both"/>
        <w:ind w:firstLine="708"/>
        <w:spacing w:line="360" w:lineRule="auto"/>
      </w:pPr>
      <w:r>
        <w:rPr>
          <w:rFonts w:ascii="Times New Roman" w:hAnsi="Times New Roman"/>
          <w:sz w:val="28"/>
        </w:rPr>
        <w:t xml:space="preserve">Реконструкция узла нейтрализации и утилизации сероводорода требует комплексного подхода к выбору оптимальной технологической схемы. Современные требования к экологической безопасности, экономической эффективности и надежности работы установки обуславливают необходимость тщательного анализа существующих технологий переработки сероводородсодержащих газов. Основными технологическими решениями, применяемыми в нефтегазовой промышленности для утилизации сероводорода, являются процесс Клауса, процесс SCOT (Shell Claus Off-gas Treating) и аминовая очистка с последующей регенерацией абсорбента. Каждая из этих схем имеет свои технологические особенности, области применения и экономические показатели, что требует детального сравнительного анализа для принятия обоснованного решения о выборе схемы реконструкции.</w:t>
      </w:r>
    </w:p>
    <w:p>
      <w:pPr>
        <w:pStyle w:val="Heading2"/>
        <w:spacing w:before="240" w:after="120"/>
      </w:pPr>
      <w:r>
        <w:rPr>
          <w:rFonts w:ascii="Times New Roman" w:hAnsi="Times New Roman"/>
          <w:b/>
          <w:sz w:val="28"/>
        </w:rPr>
        <w:t xml:space="preserve">Многокритериальный анализ вариантов реконструкции</w:t>
      </w:r>
    </w:p>
    <w:p>
      <w:pPr>
        <w:jc w:val="both"/>
        <w:ind w:firstLine="708"/>
        <w:spacing w:line="360" w:lineRule="auto"/>
      </w:pPr>
      <w:r>
        <w:rPr>
          <w:rFonts w:ascii="Times New Roman" w:hAnsi="Times New Roman"/>
          <w:sz w:val="28"/>
        </w:rPr>
        <w:t xml:space="preserve">Для объективной оценки альтернативных вариантов реконструкции узла утилизации необходимо провести многокритериальный анализ, учитывающий технологические, экономические, экологические и эксплуатационные параметры каждой схемы. Основными критериями сравнения выступают степень извлечения серы, капитальные и эксплуатационные затраты, соответствие экологическим нормативам, надежность и сложность эксплуатации, а также возможность интеграции в существующую технологическую схему установки.</w:t>
      </w:r>
    </w:p>
    <w:p>
      <w:pPr>
        <w:jc w:val="both"/>
        <w:ind w:firstLine="708"/>
        <w:spacing w:line="360" w:lineRule="auto"/>
      </w:pPr>
      <w:r>
        <w:rPr>
          <w:rFonts w:ascii="Times New Roman" w:hAnsi="Times New Roman"/>
          <w:sz w:val="28"/>
        </w:rPr>
        <w:t xml:space="preserve">Процесс Клауса представляет собой наиболее распространенную технологию конверсии сероводорода в элементарную серу. Классический процесс включает термическую и каталитическую стадии, обеспечивая степень конверсии до 95-97%. Основным преимуществом данной технологии является получение товарного продукта – элементарной серы, что позволяет не только решить экологическую задачу, но и получить дополнительный доход от реализации серы. Процесс характеризуется относительно невысокими капитальными затратами и хорошо отработанной технологией, что обеспечивает высокую надежность работы установки. Однако классический процесс Клауса не обеспечивает достижения современных жестких экологических норм по выбросам соединений серы в атмосферу, что требует установки дополнительных узлов доочистки хвостовых газов.</w:t>
      </w:r>
    </w:p>
    <w:p>
      <w:pPr>
        <w:jc w:val="both"/>
        <w:ind w:firstLine="708"/>
        <w:spacing w:line="360" w:lineRule="auto"/>
      </w:pPr>
      <w:r>
        <w:rPr>
          <w:rFonts w:ascii="Times New Roman" w:hAnsi="Times New Roman"/>
          <w:sz w:val="28"/>
        </w:rPr>
        <w:t xml:space="preserve">Процесс SCOT является усовершенствованной версией процесса Клауса и включает дополнительную стадию доочистки хвостовых газов. В этой схеме остаточные соединения серы (SO₂, H₂S, элементарная сера) гидрируются до сероводорода на кобальт-молибденовом катализаторе, после чего сероводород абсорбируется аминовым раствором с последующей регенерацией и возвратом в печь Клауса. Данная технология позволяет достичь общей степени извлечения серы до 99,5-99,8%, что соответствует самым строгим экологическим требованиям. Процесс SCOT обеспечивает минимальные выбросы соединений серы в атмосферу и характеризуется высокой эффективностью работы при различных режимах эксплуатации. К недостаткам схемы следует отнести значительные капитальные затраты на строительство дополнительного узла доочистки, повышенный расход энергоресурсов на стадии гидрирования и регенерации абсорбента, а также усложнение технологической схемы и системы управления установкой.</w:t>
      </w:r>
    </w:p>
    <w:p>
      <w:pPr>
        <w:jc w:val="both"/>
        <w:ind w:firstLine="708"/>
        <w:spacing w:line="360" w:lineRule="auto"/>
      </w:pPr>
      <w:r>
        <w:rPr>
          <w:rFonts w:ascii="Times New Roman" w:hAnsi="Times New Roman"/>
          <w:sz w:val="28"/>
        </w:rPr>
        <w:t xml:space="preserve">Аминовая очистка с последующей регенерацией представляет собой альтернативный подход к утилизации сероводорода, основанный на абсорбции H₂S раствором алканоламинов (МЭА, ДЭА, МДЭА) с последующей термической регенерацией насыщенного раствора. Данная технология широко применяется для очистки природного и попутного нефтяного газа от кислых компонентов, однако для утилизации концентрированных сероводородсодержащих потоков требует дополнительных решений по переработке выделенного H₂S. Основным преимуществом аминовой очистки является высокая степень извлечения сероводорода (до 99,9%) и возможность селективного удаления H₂S в присутствии CO₂ при использовании селективных абсорбентов типа МДЭА. Схема характеризуется относительной простотой аппаратурного оформления и хорошей управляемостью процесса. Однако существенным недостатком является необходимость дальнейшей переработки выделенного сероводорода, что требует установки дополнительного оборудования (печи Клауса или других устройств для конверсии H₂S), а также высокие эксплуатационные затраты на регенерацию абсорбента и компенсацию его потерь.</w:t>
      </w:r>
    </w:p>
    <w:p>
      <w:pPr>
        <w:jc w:val="both"/>
        <w:ind w:firstLine="708"/>
        <w:spacing w:line="360" w:lineRule="auto"/>
      </w:pPr>
      <w:r>
        <w:rPr>
          <w:rFonts w:ascii="Times New Roman" w:hAnsi="Times New Roman"/>
          <w:sz w:val="28"/>
        </w:rPr>
        <w:t xml:space="preserve">Сравнительный анализ технологических параметров различных схем утилизации представлен в следующей таблице:</w:t>
      </w:r>
    </w:p>
    <w:p>
      <w:pPr>
        <w:jc w:val="center"/>
        <w:spacing w:after="120"/>
      </w:pPr>
      <w:r>
        <w:rPr>
          <w:rFonts w:ascii="Times New Roman" w:hAnsi="Times New Roman"/>
          <w:sz w:val="24"/>
          <w:b/>
        </w:rPr>
        <w:t>Таблица 7. Сравнение технологических параметров схем утилизации сероводорода</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Параметр</w:t>
            </w:r>
          </w:p>
        </w:tc>
        <w:tc>
          <w:tcPr>
            <w:vAlign w:val="center"/>
          </w:tcPr>
          <w:p>
            <w:pPr>
              <w:jc w:val="center"/>
            </w:pPr>
            <w:r>
              <w:rPr>
                <w:rFonts w:ascii="Times New Roman"/>
                <w:sz w:val="24"/>
                <w:b/>
              </w:rPr>
              <w:t>Процесс Клауса</w:t>
            </w:r>
          </w:p>
        </w:tc>
        <w:tc>
          <w:tcPr>
            <w:vAlign w:val="center"/>
          </w:tcPr>
          <w:p>
            <w:pPr>
              <w:jc w:val="center"/>
            </w:pPr>
            <w:r>
              <w:rPr>
                <w:rFonts w:ascii="Times New Roman"/>
                <w:sz w:val="24"/>
                <w:b/>
              </w:rPr>
              <w:t>Процесс SCOT</w:t>
            </w:r>
          </w:p>
        </w:tc>
        <w:tc>
          <w:tcPr>
            <w:vAlign w:val="center"/>
          </w:tcPr>
          <w:p>
            <w:pPr>
              <w:jc w:val="center"/>
            </w:pPr>
            <w:r>
              <w:rPr>
                <w:rFonts w:ascii="Times New Roman"/>
                <w:sz w:val="24"/>
                <w:b/>
              </w:rPr>
              <w:t>Аминовая очистка</w:t>
            </w:r>
          </w:p>
        </w:tc>
      </w:tr>
      <w:tr>
        <w:tc>
          <w:tcPr>
            <w:vAlign w:val="center"/>
          </w:tcPr>
          <w:p>
            <w:pPr>
              <w:jc w:val="center"/>
            </w:pPr>
            <w:r>
              <w:rPr>
                <w:rFonts w:ascii="Times New Roman"/>
                <w:sz w:val="24"/>
              </w:rPr>
              <w:t>Степень извлечения серы, %</w:t>
            </w:r>
          </w:p>
        </w:tc>
        <w:tc>
          <w:tcPr>
            <w:vAlign w:val="center"/>
          </w:tcPr>
          <w:p>
            <w:pPr>
              <w:jc w:val="center"/>
            </w:pPr>
            <w:r>
              <w:rPr>
                <w:rFonts w:ascii="Times New Roman"/>
                <w:sz w:val="24"/>
              </w:rPr>
              <w:t>95-97</w:t>
            </w:r>
          </w:p>
        </w:tc>
        <w:tc>
          <w:tcPr>
            <w:vAlign w:val="center"/>
          </w:tcPr>
          <w:p>
            <w:pPr>
              <w:jc w:val="center"/>
            </w:pPr>
            <w:r>
              <w:rPr>
                <w:rFonts w:ascii="Times New Roman"/>
                <w:sz w:val="24"/>
              </w:rPr>
              <w:t>99,5-99,8</w:t>
            </w:r>
          </w:p>
        </w:tc>
        <w:tc>
          <w:tcPr>
            <w:vAlign w:val="center"/>
          </w:tcPr>
          <w:p>
            <w:pPr>
              <w:jc w:val="center"/>
            </w:pPr>
            <w:r>
              <w:rPr>
                <w:rFonts w:ascii="Times New Roman"/>
                <w:sz w:val="24"/>
              </w:rPr>
              <w:t>99,9 (H₂S)</w:t>
            </w:r>
          </w:p>
        </w:tc>
      </w:tr>
      <w:tr>
        <w:tc>
          <w:tcPr>
            <w:vAlign w:val="center"/>
          </w:tcPr>
          <w:p>
            <w:pPr>
              <w:jc w:val="center"/>
            </w:pPr>
            <w:r>
              <w:rPr>
                <w:rFonts w:ascii="Times New Roman"/>
                <w:sz w:val="24"/>
              </w:rPr>
              <w:t>Получение товарной серы</w:t>
            </w:r>
          </w:p>
        </w:tc>
        <w:tc>
          <w:tcPr>
            <w:vAlign w:val="center"/>
          </w:tcPr>
          <w:p>
            <w:pPr>
              <w:jc w:val="center"/>
            </w:pPr>
            <w:r>
              <w:rPr>
                <w:rFonts w:ascii="Times New Roman"/>
                <w:sz w:val="24"/>
              </w:rPr>
              <w:t>Да</w:t>
            </w:r>
          </w:p>
        </w:tc>
        <w:tc>
          <w:tcPr>
            <w:vAlign w:val="center"/>
          </w:tcPr>
          <w:p>
            <w:pPr>
              <w:jc w:val="center"/>
            </w:pPr>
            <w:r>
              <w:rPr>
                <w:rFonts w:ascii="Times New Roman"/>
                <w:sz w:val="24"/>
              </w:rPr>
              <w:t>Да</w:t>
            </w:r>
          </w:p>
        </w:tc>
        <w:tc>
          <w:tcPr>
            <w:vAlign w:val="center"/>
          </w:tcPr>
          <w:p>
            <w:pPr>
              <w:jc w:val="center"/>
            </w:pPr>
            <w:r>
              <w:rPr>
                <w:rFonts w:ascii="Times New Roman"/>
                <w:sz w:val="24"/>
              </w:rPr>
              <w:t>Нет</w:t>
            </w:r>
          </w:p>
        </w:tc>
      </w:tr>
      <w:tr>
        <w:tc>
          <w:tcPr>
            <w:vAlign w:val="center"/>
          </w:tcPr>
          <w:p>
            <w:pPr>
              <w:jc w:val="center"/>
            </w:pPr>
            <w:r>
              <w:rPr>
                <w:rFonts w:ascii="Times New Roman"/>
                <w:sz w:val="24"/>
              </w:rPr>
              <w:t>Капитальные затраты</w:t>
            </w:r>
          </w:p>
        </w:tc>
        <w:tc>
          <w:tcPr>
            <w:vAlign w:val="center"/>
          </w:tcPr>
          <w:p>
            <w:pPr>
              <w:jc w:val="center"/>
            </w:pPr>
            <w:r>
              <w:rPr>
                <w:rFonts w:ascii="Times New Roman"/>
                <w:sz w:val="24"/>
              </w:rPr>
              <w:t>Средние</w:t>
            </w:r>
          </w:p>
        </w:tc>
        <w:tc>
          <w:tcPr>
            <w:vAlign w:val="center"/>
          </w:tcPr>
          <w:p>
            <w:pPr>
              <w:jc w:val="center"/>
            </w:pPr>
            <w:r>
              <w:rPr>
                <w:rFonts w:ascii="Times New Roman"/>
                <w:sz w:val="24"/>
              </w:rPr>
              <w:t>Высокие</w:t>
            </w:r>
          </w:p>
        </w:tc>
        <w:tc>
          <w:tcPr>
            <w:vAlign w:val="center"/>
          </w:tcPr>
          <w:p>
            <w:pPr>
              <w:jc w:val="center"/>
            </w:pPr>
            <w:r>
              <w:rPr>
                <w:rFonts w:ascii="Times New Roman"/>
                <w:sz w:val="24"/>
              </w:rPr>
              <w:t>Средние</w:t>
            </w:r>
          </w:p>
        </w:tc>
      </w:tr>
      <w:tr>
        <w:tc>
          <w:tcPr>
            <w:vAlign w:val="center"/>
          </w:tcPr>
          <w:p>
            <w:pPr>
              <w:jc w:val="center"/>
            </w:pPr>
            <w:r>
              <w:rPr>
                <w:rFonts w:ascii="Times New Roman"/>
                <w:sz w:val="24"/>
              </w:rPr>
              <w:t>Эксплуатационные затраты</w:t>
            </w:r>
          </w:p>
        </w:tc>
        <w:tc>
          <w:tcPr>
            <w:vAlign w:val="center"/>
          </w:tcPr>
          <w:p>
            <w:pPr>
              <w:jc w:val="center"/>
            </w:pPr>
            <w:r>
              <w:rPr>
                <w:rFonts w:ascii="Times New Roman"/>
                <w:sz w:val="24"/>
              </w:rPr>
              <w:t>Низкие</w:t>
            </w:r>
          </w:p>
        </w:tc>
        <w:tc>
          <w:tcPr>
            <w:vAlign w:val="center"/>
          </w:tcPr>
          <w:p>
            <w:pPr>
              <w:jc w:val="center"/>
            </w:pPr>
            <w:r>
              <w:rPr>
                <w:rFonts w:ascii="Times New Roman"/>
                <w:sz w:val="24"/>
              </w:rPr>
              <w:t>Высокие</w:t>
            </w:r>
          </w:p>
        </w:tc>
        <w:tc>
          <w:tcPr>
            <w:vAlign w:val="center"/>
          </w:tcPr>
          <w:p>
            <w:pPr>
              <w:jc w:val="center"/>
            </w:pPr>
            <w:r>
              <w:rPr>
                <w:rFonts w:ascii="Times New Roman"/>
                <w:sz w:val="24"/>
              </w:rPr>
              <w:t>Высокие</w:t>
            </w:r>
          </w:p>
        </w:tc>
      </w:tr>
      <w:tr>
        <w:tc>
          <w:tcPr>
            <w:vAlign w:val="center"/>
          </w:tcPr>
          <w:p>
            <w:pPr>
              <w:jc w:val="center"/>
            </w:pPr>
            <w:r>
              <w:rPr>
                <w:rFonts w:ascii="Times New Roman"/>
                <w:sz w:val="24"/>
              </w:rPr>
              <w:t>Сложность эксплуатации</w:t>
            </w:r>
          </w:p>
        </w:tc>
        <w:tc>
          <w:tcPr>
            <w:vAlign w:val="center"/>
          </w:tcPr>
          <w:p>
            <w:pPr>
              <w:jc w:val="center"/>
            </w:pPr>
            <w:r>
              <w:rPr>
                <w:rFonts w:ascii="Times New Roman"/>
                <w:sz w:val="24"/>
              </w:rPr>
              <w:t>Низкая</w:t>
            </w:r>
          </w:p>
        </w:tc>
        <w:tc>
          <w:tcPr>
            <w:vAlign w:val="center"/>
          </w:tcPr>
          <w:p>
            <w:pPr>
              <w:jc w:val="center"/>
            </w:pPr>
            <w:r>
              <w:rPr>
                <w:rFonts w:ascii="Times New Roman"/>
                <w:sz w:val="24"/>
              </w:rPr>
              <w:t>Высокая</w:t>
            </w:r>
          </w:p>
        </w:tc>
        <w:tc>
          <w:tcPr>
            <w:vAlign w:val="center"/>
          </w:tcPr>
          <w:p>
            <w:pPr>
              <w:jc w:val="center"/>
            </w:pPr>
            <w:r>
              <w:rPr>
                <w:rFonts w:ascii="Times New Roman"/>
                <w:sz w:val="24"/>
              </w:rPr>
              <w:t>Средняя</w:t>
            </w:r>
          </w:p>
        </w:tc>
      </w:tr>
      <w:tr>
        <w:tc>
          <w:tcPr>
            <w:vAlign w:val="center"/>
          </w:tcPr>
          <w:p>
            <w:pPr>
              <w:jc w:val="center"/>
            </w:pPr>
            <w:r>
              <w:rPr>
                <w:rFonts w:ascii="Times New Roman"/>
                <w:sz w:val="24"/>
              </w:rPr>
              <w:t>Соответствие экологическим нормам</w:t>
            </w:r>
          </w:p>
        </w:tc>
        <w:tc>
          <w:tcPr>
            <w:vAlign w:val="center"/>
          </w:tcPr>
          <w:p>
            <w:pPr>
              <w:jc w:val="center"/>
            </w:pPr>
            <w:r>
              <w:rPr>
                <w:rFonts w:ascii="Times New Roman"/>
                <w:sz w:val="24"/>
              </w:rPr>
              <w:t>Требуется доочистка</w:t>
            </w:r>
          </w:p>
        </w:tc>
        <w:tc>
          <w:tcPr>
            <w:vAlign w:val="center"/>
          </w:tcPr>
          <w:p>
            <w:pPr>
              <w:jc w:val="center"/>
            </w:pPr>
            <w:r>
              <w:rPr>
                <w:rFonts w:ascii="Times New Roman"/>
                <w:sz w:val="24"/>
              </w:rPr>
              <w:t>Полное</w:t>
            </w:r>
          </w:p>
        </w:tc>
        <w:tc>
          <w:tcPr>
            <w:vAlign w:val="center"/>
          </w:tcPr>
          <w:p>
            <w:pPr>
              <w:jc w:val="center"/>
            </w:pPr>
            <w:r>
              <w:rPr>
                <w:rFonts w:ascii="Times New Roman"/>
                <w:sz w:val="24"/>
              </w:rPr>
              <w:t>Требуется утилизация H₂S</w:t>
            </w:r>
          </w:p>
        </w:tc>
      </w:tr>
    </w:tbl>
    <w:p>
      <w:r>
        <w:t/>
      </w:r>
    </w:p>
    <w:p>
      <w:pPr>
        <w:jc w:val="both"/>
        <w:ind w:firstLine="708"/>
        <w:spacing w:line="360" w:lineRule="auto"/>
      </w:pPr>
      <w:r>
        <w:rPr>
          <w:rFonts w:ascii="Times New Roman" w:hAnsi="Times New Roman"/>
          <w:sz w:val="28"/>
        </w:rPr>
        <w:t xml:space="preserve">Экономический анализ вариантов реконструкции включает оценку капитальных вложений, эксплуатационных затрат и потенциальных доходов от реализации товарной серы. Процесс Клауса характеризуется минимальными капитальными затратами среди рассматриваемых вариантов, однако требует дополнительных инвестиций в узел доочистки для достижения современных экологических норм. Процесс SCOT требует наибольших капитальных вложений, однако обеспечивает максимальное извлечение серы и минимальные платежи за выбросы загрязняющих веществ. Аминовая схема занимает промежуточное положение по капитальным затратам, но характеризуется высокими эксплуатационными расходами на регенерацию абсорбента и не обеспечивает получение товарной серы без дополнительного оборудования.</w:t>
      </w:r>
    </w:p>
    <w:p>
      <w:pPr>
        <w:jc w:val="both"/>
        <w:ind w:firstLine="708"/>
        <w:spacing w:line="360" w:lineRule="auto"/>
      </w:pPr>
      <w:r>
        <w:rPr>
          <w:rFonts w:ascii="Times New Roman" w:hAnsi="Times New Roman"/>
          <w:sz w:val="28"/>
        </w:rPr>
        <w:t xml:space="preserve">Экологический аспект является критически важным фактором при выборе схемы реконструкции. Современные нормативы устанавливают жесткие ограничения на выбросы соединений серы в атмосферу, что делает необходимым достижение степени извлечения серы не менее 99%. Процесс Клауса в базовой конфигурации не обеспечивает выполнение этих требований, что требует установки дополнительных систем доочистки. Процесс SCOT полностью соответствует действующим экологическим нормативам и обеспечивает минимальное воздействие на окружающую среду. Аминовая очистка эффективно извлекает сероводород из газового потока, однако требует решения вопроса утилизации выделенного H₂S, что возвращает к необходимости применения процесса Клауса или альтернативных методов конверсии.</w:t>
      </w:r>
    </w:p>
    <w:p>
      <w:pPr>
        <w:pStyle w:val="Heading2"/>
        <w:spacing w:before="240" w:after="120"/>
      </w:pPr>
      <w:r>
        <w:rPr>
          <w:rFonts w:ascii="Times New Roman" w:hAnsi="Times New Roman"/>
          <w:b/>
          <w:sz w:val="28"/>
        </w:rPr>
        <w:t xml:space="preserve">Выбор оптимальной технологической схемы</w:t>
      </w:r>
    </w:p>
    <w:p>
      <w:pPr>
        <w:jc w:val="both"/>
        <w:ind w:firstLine="708"/>
        <w:spacing w:line="360" w:lineRule="auto"/>
      </w:pPr>
      <w:r>
        <w:rPr>
          <w:rFonts w:ascii="Times New Roman" w:hAnsi="Times New Roman"/>
          <w:sz w:val="28"/>
        </w:rPr>
        <w:t xml:space="preserve">На основе проведенного многокритериального анализа и с учетом специфики конкретной установки, объемов перерабатываемого сероводородсодержащего газа, требований экологической безопасности и экономической целесообразности, оптимальной схемой реконструкции узла утилизации признается комбинированная схема, включающая процесс Клауса с узлом доочистки хвостовых газов по технологии SCOT. Данное решение обеспечивает наилучший баланс между технологической эффективностью, экологической безопасностью и экономическими показателями проекта.</w:t>
      </w:r>
    </w:p>
    <w:p>
      <w:pPr>
        <w:jc w:val="both"/>
        <w:ind w:firstLine="708"/>
        <w:spacing w:line="360" w:lineRule="auto"/>
      </w:pPr>
      <w:r>
        <w:rPr>
          <w:rFonts w:ascii="Times New Roman" w:hAnsi="Times New Roman"/>
          <w:sz w:val="28"/>
        </w:rPr>
        <w:t xml:space="preserve">Выбор комбинированной схемы Клауса-SCOT обусловлен следующими факторами. Во-первых, данная конфигурация обеспечивает максимальную степень извлечения серы (до 99,8%), что гарантирует выполнение самых строгих экологических требований и минимизирует платежи за негативное воздействие на окружающую среду. Во-вторых, процесс позволяет получать товарную серу высокого качества, что создает дополнительный источник дохода и улучшает экономические показатели проекта. В-третьих, технология характеризуется высокой надежностью и хорошей управляемостью, что особенно важно для непрерывного производственного процесса на нефтеперерабатывающих и газоперерабатывающих предприятиях.</w:t>
      </w:r>
    </w:p>
    <w:p>
      <w:pPr>
        <w:jc w:val="both"/>
        <w:ind w:firstLine="708"/>
        <w:spacing w:line="360" w:lineRule="auto"/>
      </w:pPr>
      <w:r>
        <w:rPr>
          <w:rFonts w:ascii="Times New Roman" w:hAnsi="Times New Roman"/>
          <w:sz w:val="28"/>
        </w:rPr>
        <w:t xml:space="preserve">Сравнение с альтернативными вариантами подтверждает обоснованность выбора. Применение только базового процесса Клауса без доочистки не позволяет достичь требуемых экологических показателей и влечет значительные штрафные санкции за превышение нормативов выбросов. Использование исключительно аминовой очистки требует дополнительного оборудования для утилизации выделенного сероводорода, что фактически приводит к необходимости установки процесса Клауса, увеличивая общие капитальные и эксплуатационные затраты. Комбинированная схема Клауса-SCOT объединяет преимущества обеих технологий, обеспечивая эффективную конверсию основной массы сероводорода на стадии Клауса и глубокую доочистку хвостовых газов на стадии SCOT.</w:t>
      </w:r>
    </w:p>
    <w:p>
      <w:pPr>
        <w:jc w:val="both"/>
        <w:ind w:firstLine="708"/>
        <w:spacing w:line="360" w:lineRule="auto"/>
      </w:pPr>
      <w:r>
        <w:rPr>
          <w:rFonts w:ascii="Times New Roman" w:hAnsi="Times New Roman"/>
          <w:sz w:val="28"/>
        </w:rPr>
        <w:t xml:space="preserve">Важным аспектом выбора является возможность поэтапной реализации проекта реконструкции. На первом этапе может быть модернизирован существующий узел Клауса с оптимизацией режимов работы термической и каталитической секций, что позволит повысить степень конверсии до 96-97%. На втором этапе осуществляется строительство узла SCOT, обеспечивающего доочистку хвостовых газов до требуемых экологических норм. Такой подход позволяет распределить капитальные затраты во времени и минимизировать риски, связанные с остановкой производства на период реконструкции.</w:t>
      </w:r>
    </w:p>
    <w:p>
      <w:pPr>
        <w:jc w:val="both"/>
        <w:ind w:firstLine="708"/>
        <w:spacing w:line="360" w:lineRule="auto"/>
      </w:pPr>
      <w:r>
        <w:rPr>
          <w:rFonts w:ascii="Times New Roman" w:hAnsi="Times New Roman"/>
          <w:sz w:val="28"/>
        </w:rPr>
        <w:t xml:space="preserve">Технико-экономическое обоснование выбранной схемы включает расчет срока окупаемости инвестиций, чистой приведенной стоимости проекта и внутренней нормы доходности. Анализ показывает, что при текущих ценах на серу и с учетом экономии на платежах за выбросы, срок окупаемости проекта реконструкции составляет 4-5 лет, что является приемлемым показателем для проектов данного типа. Дополнительным экономическим преимуществом является снижение рисков, связанных с ужесточением экологического законодательства и ростом платежей за негативное воздействие на окружающую среду.</w:t>
      </w:r>
    </w:p>
    <w:p>
      <w:pPr>
        <w:pStyle w:val="Heading2"/>
        <w:spacing w:before="240" w:after="120"/>
      </w:pPr>
      <w:r>
        <w:rPr>
          <w:rFonts w:ascii="Times New Roman" w:hAnsi="Times New Roman"/>
          <w:b/>
          <w:sz w:val="28"/>
        </w:rPr>
        <w:t xml:space="preserve">Описание принятой схемы и её технологические преимущества</w:t>
      </w:r>
    </w:p>
    <w:p>
      <w:pPr>
        <w:jc w:val="both"/>
        <w:ind w:firstLine="708"/>
        <w:spacing w:line="360" w:lineRule="auto"/>
      </w:pPr>
      <w:r>
        <w:rPr>
          <w:rFonts w:ascii="Times New Roman" w:hAnsi="Times New Roman"/>
          <w:sz w:val="28"/>
        </w:rPr>
        <w:t xml:space="preserve">Принятая схема реконструкции узла утилизации сероводорода представляет собой интегрированный технологический комплекс, включающий следующие основные блоки: блок подготовки кислого газа, блок термической конверсии (печь Клауса), блок каталитической конверсии с двумя-тремя каталитическими реакторами, блок конденсации и отделения серы, блок гидрирования хвостовых газов (узел SCOT), блок аминовой абсорбции регенерированного сероводорода и блок регенерации абсорбента с возвратом кислого газа в печь Клауса. Данная конфигурация обеспечивает максимальную эффективность процесса утилизации при минимальном воздействии на окружающую среду.</w:t>
      </w:r>
    </w:p>
    <w:p>
      <w:pPr>
        <w:jc w:val="both"/>
        <w:ind w:firstLine="708"/>
        <w:spacing w:line="360" w:lineRule="auto"/>
      </w:pPr>
      <w:r>
        <w:rPr>
          <w:rFonts w:ascii="Times New Roman" w:hAnsi="Times New Roman"/>
          <w:sz w:val="28"/>
        </w:rPr>
        <w:t xml:space="preserve">Технологический процесс начинается с подготовки кислого газа, поступающего с установок аминовой очистки или других источников сероводородсодержащих потоков. На этой стадии осуществляется регулирование соотношения H₂S к SO₂, необходимого для оптимального протекания реакции Клауса, путем подачи воздуха или кислорода. Кислый газ подогревается в теплообменнике за счет тепла продуктов сгорания и направляется в печь термической конверсии, где при температуре 1000-1400°C происходит частичное окисление сероводорода до диоксида серы и элементарной серы. Термическая стадия обеспечивает конверсию 60-70% поступающего сероводорода и характеризуется высокой устойчивостью к колебаниям состава исходного газа.</w:t>
      </w:r>
    </w:p>
    <w:p>
      <w:pPr>
        <w:jc w:val="both"/>
        <w:ind w:firstLine="708"/>
        <w:spacing w:line="360" w:lineRule="auto"/>
      </w:pPr>
      <w:r>
        <w:rPr>
          <w:rFonts w:ascii="Times New Roman" w:hAnsi="Times New Roman"/>
          <w:sz w:val="28"/>
        </w:rPr>
        <w:t xml:space="preserve">После печи термической конверсии продукты реакции охлаждаются в котле-утилизаторе с выработкой пара среднего давления, что позволяет утилизировать значительную часть тепловой энергии процесса. Охлажденный газ поступает в первый серный конденсатор, где происходит конденсация и отделение элементарной серы, образовавшейся на термической стадии. Далее газовый поток последовательно проходит через каталитические реакторы, где при температуре 200-350°C на алюмооксидном или титановом катализаторе протекает каталитическая реакция Клауса между оставшимся сероводородом и диоксидом серы с образованием элементарной серы и воды. После каждого каталитического реактора установлены серные конденсаторы для отделения образовавшейся серы, что обеспечивает смещение равновесия реакции в сторону образования продукта и повышает общую степень конверсии.</w:t>
      </w:r>
    </w:p>
    <w:p>
      <w:pPr>
        <w:jc w:val="both"/>
        <w:ind w:firstLine="708"/>
        <w:spacing w:line="360" w:lineRule="auto"/>
      </w:pPr>
      <w:r>
        <w:rPr>
          <w:rFonts w:ascii="Times New Roman" w:hAnsi="Times New Roman"/>
          <w:sz w:val="28"/>
        </w:rPr>
        <w:t xml:space="preserve">Хвостовые газы, выходящие из последнего серного конденсатора блока Клауса, содержат остаточные количества H₂S, SO₂, элементарной серы и других соединений серы в концентрациях, не позволяющих осуществить их прямой выброс в атмосферу. Эти газы направляются в блок доочистки SCOT, где сначала подогреваются и смешиваются с восстановительным газом (природным газом или водородом), после чего поступают в реактор гидрирования. В реакторе гидрирования на кобальт-молибденовом катализаторе при температуре 280-320°C все соединения серы конвертируются в сероводород по следующим реакциям: SO₂ + 3H₂ → H₂S + 2H₂O и S + H₂ → H₂S. Полученный газовый поток охлаждается и направляется в абсорбер, где сероводород селективно поглощается циркулирующим раствором алканоламина (обычно МДЭА).</w:t>
      </w:r>
    </w:p>
    <w:p>
      <w:pPr>
        <w:jc w:val="both"/>
        <w:ind w:firstLine="708"/>
        <w:spacing w:line="360" w:lineRule="auto"/>
      </w:pPr>
      <w:r>
        <w:rPr>
          <w:rFonts w:ascii="Times New Roman" w:hAnsi="Times New Roman"/>
          <w:sz w:val="28"/>
        </w:rPr>
        <w:t xml:space="preserve">Насыщенный аминовый раствор из абсорбера направляется в десорбер (регенератор), где при повышенной температуре и пониженном давлении происходит выделение поглощенного сероводорода. Регенерированный раствор амина охлаждается и возвращается в абсорбер, замыкая цикл циркуляции абсорбента. Кислый газ, выделившийся в регенераторе и содержащий концентрированный сероводород, компримируется и возвращается на вход печи Клауса, где происходит его окончательная конверсия в элементарную серу. Очищенный газ с остаточным содержанием соединений серы менее 250 ppm направляется в систему факельного хозяйства или на дополнительную ступень очистки перед выбросом в атмосферу.</w:t>
      </w:r>
    </w:p>
    <w:p>
      <w:pPr>
        <w:jc w:val="both"/>
        <w:ind w:firstLine="708"/>
        <w:spacing w:line="360" w:lineRule="auto"/>
      </w:pPr>
      <w:r>
        <w:rPr>
          <w:rFonts w:ascii="Times New Roman" w:hAnsi="Times New Roman"/>
          <w:sz w:val="28"/>
        </w:rPr>
        <w:t xml:space="preserve">Технологические преимущества принятой схемы реконструкции многочисленны и обеспечивают высокую эффективность процесса утилизации сероводорода. Комбинация процессов Клауса и SCOT позволяет достичь общей степени извлечения серы 99,5-99,8%, что соответствует самым строгим экологическим требованиям и обеспечивает концентрацию соединений серы в очищенном газе на уровне 100-250 ppm. Данный показатель значительно превосходит нормативные требования и создает запас по экологической безопасности на случай ужесточения законодательства. Высокая эффективность извлечения серы минимизирует выбросы загрязняющих веществ в атмосферу и снижает экологические платежи, что улучшает экономические показатели проекта.</w:t>
      </w:r>
    </w:p>
    <w:p>
      <w:pPr>
        <w:jc w:val="both"/>
        <w:ind w:firstLine="708"/>
        <w:spacing w:line="360" w:lineRule="auto"/>
      </w:pPr>
      <w:r>
        <w:rPr>
          <w:rFonts w:ascii="Times New Roman" w:hAnsi="Times New Roman"/>
          <w:sz w:val="28"/>
        </w:rPr>
        <w:t xml:space="preserve">Получение товарной серы высокого качества является важным технологическим и экономическим преимуществом выбранной схемы. Элементарная сера, образующаяся в процессе Клауса, может быть реализована на рынке в виде комовой, гранулированной или жидкой серы в зависимости от требований потребителей. Доходы от продажи серы частично компенсируют эксплуатационные затраты на работу установки и сокращают срок окупаемости инвестиций в реконструкцию. При текущих рыночных ценах на серу и объемах производства, характерных для средних нефтеперерабатывающих заводов, годовой доход от реализации серы может составлять несколько миллионов долларов США.</w:t>
      </w:r>
    </w:p>
    <w:p>
      <w:pPr>
        <w:jc w:val="both"/>
        <w:ind w:firstLine="708"/>
        <w:spacing w:line="360" w:lineRule="auto"/>
      </w:pPr>
      <w:r>
        <w:rPr>
          <w:rFonts w:ascii="Times New Roman" w:hAnsi="Times New Roman"/>
          <w:sz w:val="28"/>
        </w:rPr>
        <w:t xml:space="preserve">Энергетическая эффективность принятой схемы обеспечивается за счет утилизации тепла высокотемпературных продуктов сгорания в печи Клауса для выработки водяного пара среднего или высокого давления. Произведенный пар может использоваться для собственных нужд установки (подогрев исходных потоков, регенерация абсорбента) или направляться в общезаводскую систему теплоснабжения, что снижает потребление энергоресурсов и улучшает энергетический баланс предприятия. Дополнительная экономия энергии достигается за счет рекуперации тепла технологических потоков в системе теплообменников, что минимизирует потребность в дополнительном подогреве или охлаждении.</w:t>
      </w:r>
    </w:p>
    <w:p>
      <w:pPr>
        <w:jc w:val="both"/>
        <w:ind w:firstLine="708"/>
        <w:spacing w:line="360" w:lineRule="auto"/>
      </w:pPr>
      <w:r>
        <w:rPr>
          <w:rFonts w:ascii="Times New Roman" w:hAnsi="Times New Roman"/>
          <w:sz w:val="28"/>
        </w:rPr>
        <w:t xml:space="preserve">Гибкость и надежность работы установки обеспечиваются за счет применения современных систем автоматического управления и контроля технологических параметров. Схема позволяет эффективно работать в широком диапазоне нагрузок по исходному сырью (от 50% до 110% проектной производительности) без существенного снижения степени извлечения серы. Система автоматического регулирования поддерживает оптимальные температурные режимы в реакторах, соотношение реагентов и другие критические параметры процесса, что обеспечивает стабильное качество продукции и минимизирует риски аварийных ситуаций. Модульная конструкция оборудования позволяет проводить плановые ремонты и замену катализаторов без полной остановки производства, что повышает общий коэффициент использования установки.</w:t>
      </w:r>
    </w:p>
    <w:p>
      <w:pPr>
        <w:jc w:val="both"/>
        <w:ind w:firstLine="708"/>
        <w:spacing w:line="360" w:lineRule="auto"/>
      </w:pPr>
      <w:r>
        <w:rPr>
          <w:rFonts w:ascii="Times New Roman" w:hAnsi="Times New Roman"/>
          <w:sz w:val="28"/>
        </w:rPr>
        <w:t xml:space="preserve">Экологическая безопасность принятой схемы подтверждается не только высокой степенью извлечения серы, но и наличием многоуровневой системы контроля выбросов. Установка оснащается современными системами непрерывного мониторинга концентраций соединений серы в очищенном газе, что позволяет оперативно выявлять отклонения от нормативных показателей и принимать корректирующие меры. В случае аварийных ситуаций или превышения допустимых концентраций загрязняющих веществ, предусмотрена система автоматического перенаправления газовых потоков на резервное оборудование или в систему факельного хозяйства с последующим дожигом, что исключает неконтролируемые выбросы в атмосферу.</w:t>
      </w:r>
    </w:p>
    <w:p>
      <w:pPr>
        <w:jc w:val="both"/>
        <w:ind w:firstLine="708"/>
        <w:spacing w:line="360" w:lineRule="auto"/>
      </w:pPr>
      <w:r>
        <w:rPr>
          <w:rFonts w:ascii="Times New Roman" w:hAnsi="Times New Roman"/>
          <w:sz w:val="28"/>
        </w:rPr>
        <w:t xml:space="preserve">Таким образом, выбранная схема реконструкции узла утилизации сероводорода на основе комбинации процессов Клауса и SCOT представляет собой оптимальное технологическое решение, обеспечивающее высокую эффективность переработки сероводородсодержащих газов, соответствие современным экологическим требованиям, экономическую целесообразность и надежность эксплуатации. Реализация данного проекта позволит предприятию не только решить актуальные экологические проблемы, но и создать дополнительный источник дохода от реализации товарной серы, улучшить энергетический баланс производства и обеспечить долгосрочную устойчивость работы установки в условиях ужесточения природоохранного законодательства.</w:t>
      </w:r>
    </w:p>
    <w:p>
      <w:r>
        <w:t/>
      </w:r>
    </w:p>
    <w:p>
      <w:pPr>
        <w:pStyle w:val="Heading1"/>
        <w:jc w:val="center"/>
        <w:spacing w:before="240" w:after="240"/>
      </w:pPr>
      <w:r>
        <w:rPr>
          <w:rFonts w:ascii="Times New Roman" w:hAnsi="Times New Roman"/>
          <w:b/>
          <w:sz w:val="28"/>
        </w:rPr>
        <w:t xml:space="preserve">ТЕХНОЛОГИЧЕСКИЙ РАСЧЕТ РЕКОНСТРУИРУЕМОГО УЗЛА УТИЛИЗАЦИИ СЕРОВОДОРОДА</w:t>
      </w:r>
    </w:p>
    <w:p>
      <w:pPr>
        <w:jc w:val="both"/>
        <w:ind w:firstLine="708"/>
        <w:spacing w:line="360" w:lineRule="auto"/>
      </w:pPr>
      <w:r>
        <w:rPr>
          <w:rFonts w:ascii="Times New Roman" w:hAnsi="Times New Roman"/>
          <w:sz w:val="28"/>
        </w:rPr>
        <w:t xml:space="preserve">Технологический расчет узла утилизации сероводорода является ключевым этапом проектирования реконструируемой системы, определяющим эффективность всего процесса переработки кислых газов. Корректное определение материальных и тепловых балансов позволяет оптимизировать работу оборудования, минимизировать энергетические затраты и обеспечить соответствие экологическим нормативам по выбросам. В рамках данного раздела рассматриваются основные расчетные параметры процесса Клауса, включающего термическую и каталитическую стадии окисления сероводорода, а также дополнительную очистку хвостовых газов методом SCOT или аминовой абсорбции.</w:t>
      </w:r>
    </w:p>
    <w:p>
      <w:pPr>
        <w:jc w:val="both"/>
        <w:ind w:firstLine="708"/>
        <w:spacing w:line="360" w:lineRule="auto"/>
      </w:pPr>
      <w:r>
        <w:rPr>
          <w:rFonts w:ascii="Times New Roman" w:hAnsi="Times New Roman"/>
          <w:sz w:val="28"/>
        </w:rPr>
        <w:t xml:space="preserve">Выбор технологической схемы утилизации определяется концентрацией сероводорода в исходном потоке, требуемой степенью очистки и экономическими факторами. При высоких концентрациях H₂S (более 40% об.) предпочтительна прямая схема Клауса с термической ступенью, работающей при температурах 1000-1400°C. Для средних концентраций (15-40%) применяют модифицированную схему с предварительным подогревом и разделением потоков. Низкоконцентрированные потоки (менее 15%) требуют дополнительного обогащения или использования альтернативных методов окисления</w:t>
      </w:r>
      <w:hyperlink w:anchor="_Source_19">
        <w:r>
          <w:rPr>
            <w:rFonts w:ascii="Times New Roman" w:hAnsi="Times New Roman"/>
            <w:sz w:val="28"/>
            <w:rStyle w:val="Hyperlink"/>
          </w:rPr>
          <w:t>[19]</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Материальный баланс процесса утилизации</w:t>
      </w:r>
    </w:p>
    <w:p>
      <w:pPr>
        <w:jc w:val="both"/>
        <w:ind w:firstLine="708"/>
        <w:spacing w:line="360" w:lineRule="auto"/>
      </w:pPr>
      <w:r>
        <w:rPr>
          <w:rFonts w:ascii="Times New Roman" w:hAnsi="Times New Roman"/>
          <w:sz w:val="28"/>
        </w:rPr>
        <w:t xml:space="preserve">Материальный баланс процесса утилизации сероводорода составляется на основе стехиометрических соотношений основных реакций, протекающих в термической печи и каталитических реакторах. Исходными данными для расчета служат состав и расход кислого газа, поступающего с установки аминовой очистки, а также параметры воздушного дутья.</w:t>
      </w:r>
    </w:p>
    <w:p>
      <w:pPr>
        <w:jc w:val="both"/>
        <w:ind w:firstLine="708"/>
        <w:spacing w:line="360" w:lineRule="auto"/>
      </w:pPr>
      <w:r>
        <w:rPr>
          <w:rFonts w:ascii="Times New Roman" w:hAnsi="Times New Roman"/>
          <w:sz w:val="28"/>
        </w:rPr>
        <w:t xml:space="preserve">Основные реакции процесса Клауса включают термическое окисление сероводорода и каталитическое взаимодействие образовавшегося диоксида серы с непрореагировавшим H₂S. В термической печи при температуре 1000-1200°C протекает частичное окисление:</w:t>
      </w:r>
    </w:p>
    <w:p>
      <w:pPr>
        <w:jc w:val="both"/>
        <w:ind w:firstLine="708"/>
        <w:spacing w:line="360" w:lineRule="auto"/>
      </w:pPr>
      <w:r>
        <w:rPr>
          <w:rFonts w:ascii="Times New Roman" w:hAnsi="Times New Roman"/>
          <w:sz w:val="28"/>
        </w:rPr>
        <w:t xml:space="preserve">2H₂S + 3O₂ → 2SO₂ + 2H₂O</w:t>
      </w:r>
    </w:p>
    <w:p>
      <w:pPr>
        <w:jc w:val="both"/>
        <w:ind w:firstLine="708"/>
        <w:spacing w:line="360" w:lineRule="auto"/>
      </w:pPr>
      <w:r>
        <w:rPr>
          <w:rFonts w:ascii="Times New Roman" w:hAnsi="Times New Roman"/>
          <w:sz w:val="28"/>
        </w:rPr>
        <w:t xml:space="preserve">H₂S + ½O₂ → S + H₂O</w:t>
      </w:r>
    </w:p>
    <w:p>
      <w:pPr>
        <w:jc w:val="both"/>
        <w:ind w:firstLine="708"/>
        <w:spacing w:line="360" w:lineRule="auto"/>
      </w:pPr>
      <w:r>
        <w:rPr>
          <w:rFonts w:ascii="Times New Roman" w:hAnsi="Times New Roman"/>
          <w:sz w:val="28"/>
        </w:rPr>
        <w:t xml:space="preserve">Оптимальное соотношение H₂S:SO₂ для последующей каталитической стадии составляет 2:1, что достигается регулированием подачи воздуха. При избытке кислорода образуется излишек SO₂, снижающий общий выход серы, при недостатке – остается непрореагировавший H₂S.</w:t>
      </w:r>
    </w:p>
    <w:p>
      <w:pPr>
        <w:jc w:val="both"/>
        <w:ind w:firstLine="708"/>
        <w:spacing w:line="360" w:lineRule="auto"/>
      </w:pPr>
      <w:r>
        <w:rPr>
          <w:rFonts w:ascii="Times New Roman" w:hAnsi="Times New Roman"/>
          <w:sz w:val="28"/>
        </w:rPr>
        <w:t xml:space="preserve">На каталитических ступенях при температуре 200-350°C протекает реакция Клауса:</w:t>
      </w:r>
    </w:p>
    <w:p>
      <w:pPr>
        <w:jc w:val="both"/>
        <w:ind w:firstLine="708"/>
        <w:spacing w:line="360" w:lineRule="auto"/>
      </w:pPr>
      <w:r>
        <w:rPr>
          <w:rFonts w:ascii="Times New Roman" w:hAnsi="Times New Roman"/>
          <w:sz w:val="28"/>
        </w:rPr>
        <w:t xml:space="preserve">2H₂S + SO₂ ⇌ 3S + 2H₂O</w:t>
      </w:r>
    </w:p>
    <w:p>
      <w:pPr>
        <w:jc w:val="both"/>
        <w:ind w:firstLine="708"/>
        <w:spacing w:line="360" w:lineRule="auto"/>
      </w:pPr>
      <w:r>
        <w:rPr>
          <w:rFonts w:ascii="Times New Roman" w:hAnsi="Times New Roman"/>
          <w:sz w:val="28"/>
        </w:rPr>
        <w:t xml:space="preserve">Равновесие реакции смещается вправо при понижении температуры, однако слишком низкая температура снижает скорость процесса. Типичная степень конверсии на одной каталитической ступени составляет 60-70%, что обуславливает необходимость использования двух-трех последовательных реакторов с промежуточным охлаждением и конденсацией серы.</w:t>
      </w:r>
    </w:p>
    <w:p>
      <w:pPr>
        <w:jc w:val="both"/>
        <w:ind w:firstLine="708"/>
        <w:spacing w:line="360" w:lineRule="auto"/>
      </w:pPr>
      <w:r>
        <w:rPr>
          <w:rFonts w:ascii="Times New Roman" w:hAnsi="Times New Roman"/>
          <w:sz w:val="28"/>
        </w:rPr>
        <w:t xml:space="preserve">Расчет материального баланса выполняется последовательно для каждого аппарата технологической схемы. Для термической печи определяются:</w:t>
      </w:r>
    </w:p>
    <w:p>
      <w:pPr>
        <w:ind w:left="708" w:hanging="360"/>
        <w:spacing w:line="360"/>
      </w:pPr>
      <w:r>
        <w:rPr>
          <w:rFonts w:ascii="Times New Roman"/>
          <w:sz w:val="28"/>
        </w:rPr>
        <w:t>• </w:t>
      </w:r>
      <w:r>
        <w:rPr>
          <w:rFonts w:ascii="Times New Roman" w:hAnsi="Times New Roman"/>
          <w:sz w:val="28"/>
        </w:rPr>
        <w:t xml:space="preserve">Расход кислого газа и его компонентный состав (H₂S, CO₂, углеводороды, водяные пары);</w:t>
      </w:r>
    </w:p>
    <w:p>
      <w:pPr>
        <w:ind w:left="708" w:hanging="360"/>
        <w:spacing w:line="360"/>
      </w:pPr>
      <w:r>
        <w:rPr>
          <w:rFonts w:ascii="Times New Roman"/>
          <w:sz w:val="28"/>
        </w:rPr>
        <w:t>• </w:t>
      </w:r>
      <w:r>
        <w:rPr>
          <w:rFonts w:ascii="Times New Roman" w:hAnsi="Times New Roman"/>
          <w:sz w:val="28"/>
        </w:rPr>
        <w:t xml:space="preserve">Необходимый расход воздуха для обеспечения стехиометрического соотношения;</w:t>
      </w:r>
    </w:p>
    <w:p>
      <w:pPr>
        <w:ind w:left="708" w:hanging="360"/>
        <w:spacing w:line="360"/>
      </w:pPr>
      <w:r>
        <w:rPr>
          <w:rFonts w:ascii="Times New Roman"/>
          <w:sz w:val="28"/>
        </w:rPr>
        <w:t>• </w:t>
      </w:r>
      <w:r>
        <w:rPr>
          <w:rFonts w:ascii="Times New Roman" w:hAnsi="Times New Roman"/>
          <w:sz w:val="28"/>
        </w:rPr>
        <w:t xml:space="preserve">Состав и количество продуктов горения на выходе из печи;</w:t>
      </w:r>
    </w:p>
    <w:p>
      <w:pPr>
        <w:ind w:left="708" w:hanging="360"/>
        <w:spacing w:line="360"/>
      </w:pPr>
      <w:r>
        <w:rPr>
          <w:rFonts w:ascii="Times New Roman"/>
          <w:sz w:val="28"/>
        </w:rPr>
        <w:t>• </w:t>
      </w:r>
      <w:r>
        <w:rPr>
          <w:rFonts w:ascii="Times New Roman" w:hAnsi="Times New Roman"/>
          <w:sz w:val="28"/>
        </w:rPr>
        <w:t xml:space="preserve">Количество образовавшейся элементной серы в парообразном состоянии.</w:t>
      </w:r>
    </w:p>
    <w:p>
      <w:pPr>
        <w:jc w:val="both"/>
        <w:ind w:firstLine="708"/>
        <w:spacing w:line="360" w:lineRule="auto"/>
      </w:pPr>
      <w:r>
        <w:rPr>
          <w:rFonts w:ascii="Times New Roman" w:hAnsi="Times New Roman"/>
          <w:sz w:val="28"/>
        </w:rPr>
        <w:t xml:space="preserve">Типичный состав кислого газа с установки аминовой очистки: H₂S – 85-95%, CO₂ – 3-10%, углеводороды – 1-3%, H₂O – 1-2%. При расходе кислого газа 10000 нм³/ч с содержанием H₂S 90% масса поступающего сероводорода составляет приблизительно 13700 кг/ч. Для окисления одной трети H₂S до SO₂ требуется около 2300 нм³/ч воздуха.</w:t>
      </w:r>
    </w:p>
    <w:p>
      <w:pPr>
        <w:jc w:val="center"/>
        <w:spacing w:after="120"/>
      </w:pPr>
      <w:r>
        <w:rPr>
          <w:rFonts w:ascii="Times New Roman" w:hAnsi="Times New Roman"/>
          <w:sz w:val="24"/>
          <w:b/>
        </w:rPr>
        <w:t>Таблица 8. Материальный баланс термической печи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Статья прихода/расхода</w:t>
            </w:r>
          </w:p>
        </w:tc>
        <w:tc>
          <w:tcPr>
            <w:vAlign w:val="center"/>
          </w:tcPr>
          <w:p>
            <w:pPr>
              <w:jc w:val="center"/>
            </w:pPr>
            <w:r>
              <w:rPr>
                <w:rFonts w:ascii="Times New Roman"/>
                <w:sz w:val="24"/>
                <w:b/>
              </w:rPr>
              <w:t>Расход, нм³/ч</w:t>
            </w:r>
          </w:p>
        </w:tc>
        <w:tc>
          <w:tcPr>
            <w:vAlign w:val="center"/>
          </w:tcPr>
          <w:p>
            <w:pPr>
              <w:jc w:val="center"/>
            </w:pPr>
            <w:r>
              <w:rPr>
                <w:rFonts w:ascii="Times New Roman"/>
                <w:sz w:val="24"/>
                <w:b/>
              </w:rPr>
              <w:t>Масса, кг/ч</w:t>
            </w:r>
          </w:p>
        </w:tc>
      </w:tr>
      <w:tr>
        <w:tc>
          <w:tcPr>
            <w:vAlign w:val="center"/>
          </w:tcPr>
          <w:p>
            <w:pPr>
              <w:jc w:val="center"/>
            </w:pPr>
            <w:r>
              <w:rPr>
                <w:rFonts w:ascii="Times New Roman"/>
                <w:sz w:val="24"/>
              </w:rPr>
              <w:t>Приход:</w:t>
            </w:r>
          </w:p>
        </w:tc>
        <w:tc>
          <w:tcPr>
            <w:vAlign w:val="center"/>
          </w:tcPr>
          <w:p>
            <w:pPr>
              <w:jc w:val="center"/>
            </w:pPr>
            <w:r>
              <w:rPr>
                <w:rFonts w:ascii="Times New Roman"/>
                <w:sz w:val="24"/>
              </w:rPr>
              <w:t/>
            </w:r>
          </w:p>
        </w:tc>
        <w:tc>
          <w:tcPr>
            <w:vAlign w:val="center"/>
          </w:tcPr>
          <w:p>
            <w:pPr>
              <w:jc w:val="center"/>
            </w:pPr>
            <w:r>
              <w:rPr>
                <w:rFonts w:ascii="Times New Roman"/>
                <w:sz w:val="24"/>
              </w:rPr>
              <w:t/>
            </w:r>
          </w:p>
        </w:tc>
      </w:tr>
      <w:tr>
        <w:tc>
          <w:tcPr>
            <w:vAlign w:val="center"/>
          </w:tcPr>
          <w:p>
            <w:pPr>
              <w:jc w:val="center"/>
            </w:pPr>
            <w:r>
              <w:rPr>
                <w:rFonts w:ascii="Times New Roman"/>
                <w:sz w:val="24"/>
              </w:rPr>
              <w:t>Кислый газ</w:t>
            </w:r>
          </w:p>
        </w:tc>
        <w:tc>
          <w:tcPr>
            <w:vAlign w:val="center"/>
          </w:tcPr>
          <w:p>
            <w:pPr>
              <w:jc w:val="center"/>
            </w:pPr>
            <w:r>
              <w:rPr>
                <w:rFonts w:ascii="Times New Roman"/>
                <w:sz w:val="24"/>
              </w:rPr>
              <w:t>10000</w:t>
            </w:r>
          </w:p>
        </w:tc>
        <w:tc>
          <w:tcPr>
            <w:vAlign w:val="center"/>
          </w:tcPr>
          <w:p>
            <w:pPr>
              <w:jc w:val="center"/>
            </w:pPr>
            <w:r>
              <w:rPr>
                <w:rFonts w:ascii="Times New Roman"/>
                <w:sz w:val="24"/>
              </w:rPr>
              <w:t>15200</w:t>
            </w:r>
          </w:p>
        </w:tc>
      </w:tr>
      <w:tr>
        <w:tc>
          <w:tcPr>
            <w:vAlign w:val="center"/>
          </w:tcPr>
          <w:p>
            <w:pPr>
              <w:jc w:val="center"/>
            </w:pPr>
            <w:r>
              <w:rPr>
                <w:rFonts w:ascii="Times New Roman"/>
                <w:sz w:val="24"/>
              </w:rPr>
              <w:t>Воздух</w:t>
            </w:r>
          </w:p>
        </w:tc>
        <w:tc>
          <w:tcPr>
            <w:vAlign w:val="center"/>
          </w:tcPr>
          <w:p>
            <w:pPr>
              <w:jc w:val="center"/>
            </w:pPr>
            <w:r>
              <w:rPr>
                <w:rFonts w:ascii="Times New Roman"/>
                <w:sz w:val="24"/>
              </w:rPr>
              <w:t>2300</w:t>
            </w:r>
          </w:p>
        </w:tc>
        <w:tc>
          <w:tcPr>
            <w:vAlign w:val="center"/>
          </w:tcPr>
          <w:p>
            <w:pPr>
              <w:jc w:val="center"/>
            </w:pPr>
            <w:r>
              <w:rPr>
                <w:rFonts w:ascii="Times New Roman"/>
                <w:sz w:val="24"/>
              </w:rPr>
              <w:t>2990</w:t>
            </w:r>
          </w:p>
        </w:tc>
      </w:tr>
      <w:tr>
        <w:tc>
          <w:tcPr>
            <w:vAlign w:val="center"/>
          </w:tcPr>
          <w:p>
            <w:pPr>
              <w:jc w:val="center"/>
            </w:pPr>
            <w:r>
              <w:rPr>
                <w:rFonts w:ascii="Times New Roman"/>
                <w:sz w:val="24"/>
              </w:rPr>
              <w:t>Итого приход</w:t>
            </w:r>
          </w:p>
        </w:tc>
        <w:tc>
          <w:tcPr>
            <w:vAlign w:val="center"/>
          </w:tcPr>
          <w:p>
            <w:pPr>
              <w:jc w:val="center"/>
            </w:pPr>
            <w:r>
              <w:rPr>
                <w:rFonts w:ascii="Times New Roman"/>
                <w:sz w:val="24"/>
              </w:rPr>
              <w:t>12300</w:t>
            </w:r>
          </w:p>
        </w:tc>
        <w:tc>
          <w:tcPr>
            <w:vAlign w:val="center"/>
          </w:tcPr>
          <w:p>
            <w:pPr>
              <w:jc w:val="center"/>
            </w:pPr>
            <w:r>
              <w:rPr>
                <w:rFonts w:ascii="Times New Roman"/>
                <w:sz w:val="24"/>
              </w:rPr>
              <w:t>18190</w:t>
            </w:r>
          </w:p>
        </w:tc>
      </w:tr>
      <w:tr>
        <w:tc>
          <w:tcPr>
            <w:vAlign w:val="center"/>
          </w:tcPr>
          <w:p>
            <w:pPr>
              <w:jc w:val="center"/>
            </w:pPr>
            <w:r>
              <w:rPr>
                <w:rFonts w:ascii="Times New Roman"/>
                <w:sz w:val="24"/>
              </w:rPr>
              <w:t>Расход:</w:t>
            </w:r>
          </w:p>
        </w:tc>
        <w:tc>
          <w:tcPr>
            <w:vAlign w:val="center"/>
          </w:tcPr>
          <w:p>
            <w:pPr>
              <w:jc w:val="center"/>
            </w:pPr>
            <w:r>
              <w:rPr>
                <w:rFonts w:ascii="Times New Roman"/>
                <w:sz w:val="24"/>
              </w:rPr>
              <w:t/>
            </w:r>
          </w:p>
        </w:tc>
        <w:tc>
          <w:tcPr>
            <w:vAlign w:val="center"/>
          </w:tcPr>
          <w:p>
            <w:pPr>
              <w:jc w:val="center"/>
            </w:pPr>
            <w:r>
              <w:rPr>
                <w:rFonts w:ascii="Times New Roman"/>
                <w:sz w:val="24"/>
              </w:rPr>
              <w:t/>
            </w:r>
          </w:p>
        </w:tc>
      </w:tr>
      <w:tr>
        <w:tc>
          <w:tcPr>
            <w:vAlign w:val="center"/>
          </w:tcPr>
          <w:p>
            <w:pPr>
              <w:jc w:val="center"/>
            </w:pPr>
            <w:r>
              <w:rPr>
                <w:rFonts w:ascii="Times New Roman"/>
                <w:sz w:val="24"/>
              </w:rPr>
              <w:t>Газ после печи</w:t>
            </w:r>
          </w:p>
        </w:tc>
        <w:tc>
          <w:tcPr>
            <w:vAlign w:val="center"/>
          </w:tcPr>
          <w:p>
            <w:pPr>
              <w:jc w:val="center"/>
            </w:pPr>
            <w:r>
              <w:rPr>
                <w:rFonts w:ascii="Times New Roman"/>
                <w:sz w:val="24"/>
              </w:rPr>
              <w:t>11500</w:t>
            </w:r>
          </w:p>
        </w:tc>
        <w:tc>
          <w:tcPr>
            <w:vAlign w:val="center"/>
          </w:tcPr>
          <w:p>
            <w:pPr>
              <w:jc w:val="center"/>
            </w:pPr>
            <w:r>
              <w:rPr>
                <w:rFonts w:ascii="Times New Roman"/>
                <w:sz w:val="24"/>
              </w:rPr>
              <w:t>16800</w:t>
            </w:r>
          </w:p>
        </w:tc>
      </w:tr>
      <w:tr>
        <w:tc>
          <w:tcPr>
            <w:vAlign w:val="center"/>
          </w:tcPr>
          <w:p>
            <w:pPr>
              <w:jc w:val="center"/>
            </w:pPr>
            <w:r>
              <w:rPr>
                <w:rFonts w:ascii="Times New Roman"/>
                <w:sz w:val="24"/>
              </w:rPr>
              <w:t>Сера парообразная</w:t>
            </w:r>
          </w:p>
        </w:tc>
        <w:tc>
          <w:tcPr>
            <w:vAlign w:val="center"/>
          </w:tcPr>
          <w:p>
            <w:pPr>
              <w:jc w:val="center"/>
            </w:pPr>
            <w:r>
              <w:rPr>
                <w:rFonts w:ascii="Times New Roman"/>
                <w:sz w:val="24"/>
              </w:rPr>
              <w:t>—</w:t>
            </w:r>
          </w:p>
        </w:tc>
        <w:tc>
          <w:tcPr>
            <w:vAlign w:val="center"/>
          </w:tcPr>
          <w:p>
            <w:pPr>
              <w:jc w:val="center"/>
            </w:pPr>
            <w:r>
              <w:rPr>
                <w:rFonts w:ascii="Times New Roman"/>
                <w:sz w:val="24"/>
              </w:rPr>
              <w:t>1390</w:t>
            </w:r>
          </w:p>
        </w:tc>
      </w:tr>
      <w:tr>
        <w:tc>
          <w:tcPr>
            <w:vAlign w:val="center"/>
          </w:tcPr>
          <w:p>
            <w:pPr>
              <w:jc w:val="center"/>
            </w:pPr>
            <w:r>
              <w:rPr>
                <w:rFonts w:ascii="Times New Roman"/>
                <w:sz w:val="24"/>
              </w:rPr>
              <w:t>Итого расход</w:t>
            </w:r>
          </w:p>
        </w:tc>
        <w:tc>
          <w:tcPr>
            <w:vAlign w:val="center"/>
          </w:tcPr>
          <w:p>
            <w:pPr>
              <w:jc w:val="center"/>
            </w:pPr>
            <w:r>
              <w:rPr>
                <w:rFonts w:ascii="Times New Roman"/>
                <w:sz w:val="24"/>
              </w:rPr>
              <w:t>11500</w:t>
            </w:r>
          </w:p>
        </w:tc>
        <w:tc>
          <w:tcPr>
            <w:vAlign w:val="center"/>
          </w:tcPr>
          <w:p>
            <w:pPr>
              <w:jc w:val="center"/>
            </w:pPr>
            <w:r>
              <w:rPr>
                <w:rFonts w:ascii="Times New Roman"/>
                <w:sz w:val="24"/>
              </w:rPr>
              <w:t>18190</w:t>
            </w:r>
          </w:p>
        </w:tc>
      </w:tr>
    </w:tbl>
    <w:p>
      <w:r>
        <w:t/>
      </w:r>
    </w:p>
    <w:p>
      <w:pPr>
        <w:jc w:val="both"/>
        <w:ind w:firstLine="708"/>
        <w:spacing w:line="360" w:lineRule="auto"/>
      </w:pPr>
      <w:r>
        <w:rPr>
          <w:rFonts w:ascii="Times New Roman" w:hAnsi="Times New Roman"/>
          <w:sz w:val="28"/>
        </w:rPr>
        <w:t xml:space="preserve">Для каталитических реакторов материальный баланс составляется с учетом степени конверсии по реакции Клауса и конденсации серы в промежуточных конденсаторах. На первой каталитической ступени при степени конверсии 65% из газового потока извлекается дополнительно около 3500 кг/ч серы. После охлаждения до 130-150°C парообразная сера конденсируется и отделяется в сепараторе.</w:t>
      </w:r>
    </w:p>
    <w:p>
      <w:pPr>
        <w:jc w:val="both"/>
        <w:ind w:firstLine="708"/>
        <w:spacing w:line="360" w:lineRule="auto"/>
      </w:pPr>
      <w:r>
        <w:rPr>
          <w:rFonts w:ascii="Times New Roman" w:hAnsi="Times New Roman"/>
          <w:sz w:val="28"/>
        </w:rPr>
        <w:t xml:space="preserve">Вторая и третья каталитические ступени работают при более низких температурах (220-280°C), обеспечивая дополнительную конверсию оставшегося H₂S и SO₂. Суммарная степень извлечения серы в базовом процессе Клауса достигает 95-97%, что соответствует остаточному содержанию серосодержащих соединений в хвостовых газах 1-2% об.</w:t>
      </w:r>
    </w:p>
    <w:p>
      <w:pPr>
        <w:jc w:val="both"/>
        <w:ind w:firstLine="708"/>
        <w:spacing w:line="360" w:lineRule="auto"/>
      </w:pPr>
      <w:r>
        <w:rPr>
          <w:rFonts w:ascii="Times New Roman" w:hAnsi="Times New Roman"/>
          <w:sz w:val="28"/>
        </w:rPr>
        <w:t xml:space="preserve">Для достижения более глубокой очистки хвостовые газы направляются на дополнительную обработку методом SCOT или аминовой абсорбции. В процессе SCOT остаточные SO₂, H₂S и пары серы гидрируются на кобальт-молибденовом катализаторе при температуре 280-320°C:</w:t>
      </w:r>
    </w:p>
    <w:p>
      <w:pPr>
        <w:jc w:val="both"/>
        <w:ind w:firstLine="708"/>
        <w:spacing w:line="360" w:lineRule="auto"/>
      </w:pPr>
      <w:r>
        <w:rPr>
          <w:rFonts w:ascii="Times New Roman" w:hAnsi="Times New Roman"/>
          <w:sz w:val="28"/>
        </w:rPr>
        <w:t xml:space="preserve">SO₂ + 3H₂ → H₂S + 2H₂O</w:t>
      </w:r>
    </w:p>
    <w:p>
      <w:pPr>
        <w:jc w:val="both"/>
        <w:ind w:firstLine="708"/>
        <w:spacing w:line="360" w:lineRule="auto"/>
      </w:pPr>
      <w:r>
        <w:rPr>
          <w:rFonts w:ascii="Times New Roman" w:hAnsi="Times New Roman"/>
          <w:sz w:val="28"/>
        </w:rPr>
        <w:t xml:space="preserve">S + H₂ → H₂S</w:t>
      </w:r>
    </w:p>
    <w:p>
      <w:pPr>
        <w:jc w:val="both"/>
        <w:ind w:firstLine="708"/>
        <w:spacing w:line="360" w:lineRule="auto"/>
      </w:pPr>
      <w:r>
        <w:rPr>
          <w:rFonts w:ascii="Times New Roman" w:hAnsi="Times New Roman"/>
          <w:sz w:val="28"/>
        </w:rPr>
        <w:t xml:space="preserve">Образовавшийся H₂S абсорбируется раствором амина и возвращается на вход установки Клауса, что повышает общую степень извлечения серы до 99,5-99,9%. Материальный баланс блока SCOT включает расчет расхода водородсодержащего газа (обычно 3-5% от объема хвостовых газов) и циркулирующего аминового раствора.</w:t>
      </w:r>
    </w:p>
    <w:p>
      <w:pPr>
        <w:pStyle w:val="Heading2"/>
        <w:spacing w:before="240" w:after="120"/>
      </w:pPr>
      <w:r>
        <w:rPr>
          <w:rFonts w:ascii="Times New Roman" w:hAnsi="Times New Roman"/>
          <w:b/>
          <w:sz w:val="28"/>
        </w:rPr>
        <w:t xml:space="preserve">Тепловой баланс основных аппаратов</w:t>
      </w:r>
    </w:p>
    <w:p>
      <w:pPr>
        <w:jc w:val="both"/>
        <w:ind w:firstLine="708"/>
        <w:spacing w:line="360" w:lineRule="auto"/>
      </w:pPr>
      <w:r>
        <w:rPr>
          <w:rFonts w:ascii="Times New Roman" w:hAnsi="Times New Roman"/>
          <w:sz w:val="28"/>
        </w:rPr>
        <w:t xml:space="preserve">Тепловой баланс процесса утилизации сероводорода определяет температурные режимы работы оборудования, потребность в теплоносителях и хладагентах, а также возможности рекуперации тепла. Основными источниками тепловыделения являются экзотермические реакции окисления и взаимодействия H₂S с SO₂, основными потребителями – нагрев исходных потоков и испарение конденсата.</w:t>
      </w:r>
    </w:p>
    <w:p>
      <w:pPr>
        <w:jc w:val="both"/>
        <w:ind w:firstLine="708"/>
        <w:spacing w:line="360" w:lineRule="auto"/>
      </w:pPr>
      <w:r>
        <w:rPr>
          <w:rFonts w:ascii="Times New Roman" w:hAnsi="Times New Roman"/>
          <w:sz w:val="28"/>
        </w:rPr>
        <w:t xml:space="preserve">Термическая печь является наиболее энергонапряженным аппаратом установки. Тепловой баланс печи составляется с учетом теплоты сгорания сероводорода (562 МДж/кмоль), физического тепла входящих и выходящих потоков, а также тепловых потерь в окружающую среду. При сжигании 4567 кг/ч H₂S выделяется около 37000 МДж/ч тепла.</w:t>
      </w:r>
    </w:p>
    <w:p>
      <w:pPr>
        <w:jc w:val="both"/>
        <w:ind w:firstLine="708"/>
        <w:spacing w:line="360" w:lineRule="auto"/>
      </w:pPr>
      <w:r>
        <w:rPr>
          <w:rFonts w:ascii="Times New Roman" w:hAnsi="Times New Roman"/>
          <w:sz w:val="28"/>
        </w:rPr>
        <w:t xml:space="preserve">Приходная часть теплового баланса термической печи включает:</w:t>
      </w:r>
    </w:p>
    <w:p>
      <w:pPr>
        <w:ind w:left="708" w:hanging="360"/>
        <w:spacing w:line="360"/>
      </w:pPr>
      <w:r>
        <w:rPr>
          <w:rFonts w:ascii="Times New Roman"/>
          <w:sz w:val="28"/>
        </w:rPr>
        <w:t>• </w:t>
      </w:r>
      <w:r>
        <w:rPr>
          <w:rFonts w:ascii="Times New Roman" w:hAnsi="Times New Roman"/>
          <w:sz w:val="28"/>
        </w:rPr>
        <w:t xml:space="preserve">Теплоту экзотермических реакций окисления H₂S;</w:t>
      </w:r>
    </w:p>
    <w:p>
      <w:pPr>
        <w:ind w:left="708" w:hanging="360"/>
        <w:spacing w:line="360"/>
      </w:pPr>
      <w:r>
        <w:rPr>
          <w:rFonts w:ascii="Times New Roman"/>
          <w:sz w:val="28"/>
        </w:rPr>
        <w:t>• </w:t>
      </w:r>
      <w:r>
        <w:rPr>
          <w:rFonts w:ascii="Times New Roman" w:hAnsi="Times New Roman"/>
          <w:sz w:val="28"/>
        </w:rPr>
        <w:t xml:space="preserve">Физическое тепло кислого газа (при температуре 40-60°C);</w:t>
      </w:r>
    </w:p>
    <w:p>
      <w:pPr>
        <w:ind w:left="708" w:hanging="360"/>
        <w:spacing w:line="360"/>
      </w:pPr>
      <w:r>
        <w:rPr>
          <w:rFonts w:ascii="Times New Roman"/>
          <w:sz w:val="28"/>
        </w:rPr>
        <w:t>• </w:t>
      </w:r>
      <w:r>
        <w:rPr>
          <w:rFonts w:ascii="Times New Roman" w:hAnsi="Times New Roman"/>
          <w:sz w:val="28"/>
        </w:rPr>
        <w:t xml:space="preserve">Физическое тепло воздуха (при температуре 20-30°C);</w:t>
      </w:r>
    </w:p>
    <w:p>
      <w:pPr>
        <w:ind w:left="708" w:hanging="360"/>
        <w:spacing w:line="360"/>
      </w:pPr>
      <w:r>
        <w:rPr>
          <w:rFonts w:ascii="Times New Roman"/>
          <w:sz w:val="28"/>
        </w:rPr>
        <w:t>• </w:t>
      </w:r>
      <w:r>
        <w:rPr>
          <w:rFonts w:ascii="Times New Roman" w:hAnsi="Times New Roman"/>
          <w:sz w:val="28"/>
        </w:rPr>
        <w:t xml:space="preserve">Теплоту сгорания углеводородов, содержащихся в кислом газе.</w:t>
      </w:r>
    </w:p>
    <w:p>
      <w:pPr>
        <w:jc w:val="both"/>
        <w:ind w:firstLine="708"/>
        <w:spacing w:line="360" w:lineRule="auto"/>
      </w:pPr>
      <w:r>
        <w:rPr>
          <w:rFonts w:ascii="Times New Roman" w:hAnsi="Times New Roman"/>
          <w:sz w:val="28"/>
        </w:rPr>
        <w:t xml:space="preserve">Расходная часть баланса:</w:t>
      </w:r>
    </w:p>
    <w:p>
      <w:pPr>
        <w:ind w:left="708" w:hanging="360"/>
        <w:spacing w:line="360"/>
      </w:pPr>
      <w:r>
        <w:rPr>
          <w:rFonts w:ascii="Times New Roman"/>
          <w:sz w:val="28"/>
        </w:rPr>
        <w:t>• </w:t>
      </w:r>
      <w:r>
        <w:rPr>
          <w:rFonts w:ascii="Times New Roman" w:hAnsi="Times New Roman"/>
          <w:sz w:val="28"/>
        </w:rPr>
        <w:t xml:space="preserve">Физическое тепло продуктов реакции при температуре 1000-1200°C;</w:t>
      </w:r>
    </w:p>
    <w:p>
      <w:pPr>
        <w:ind w:left="708" w:hanging="360"/>
        <w:spacing w:line="360"/>
      </w:pPr>
      <w:r>
        <w:rPr>
          <w:rFonts w:ascii="Times New Roman"/>
          <w:sz w:val="28"/>
        </w:rPr>
        <w:t>• </w:t>
      </w:r>
      <w:r>
        <w:rPr>
          <w:rFonts w:ascii="Times New Roman" w:hAnsi="Times New Roman"/>
          <w:sz w:val="28"/>
        </w:rPr>
        <w:t xml:space="preserve">Теплота диссоциации водяных паров при высокой температуре;</w:t>
      </w:r>
    </w:p>
    <w:p>
      <w:pPr>
        <w:ind w:left="708" w:hanging="360"/>
        <w:spacing w:line="360"/>
      </w:pPr>
      <w:r>
        <w:rPr>
          <w:rFonts w:ascii="Times New Roman"/>
          <w:sz w:val="28"/>
        </w:rPr>
        <w:t>• </w:t>
      </w:r>
      <w:r>
        <w:rPr>
          <w:rFonts w:ascii="Times New Roman" w:hAnsi="Times New Roman"/>
          <w:sz w:val="28"/>
        </w:rPr>
        <w:t xml:space="preserve">Потери тепла через футеровку печи (обычно 3-5% от общего теплового потока);</w:t>
      </w:r>
    </w:p>
    <w:p>
      <w:pPr>
        <w:ind w:left="708" w:hanging="360"/>
        <w:spacing w:line="360"/>
      </w:pPr>
      <w:r>
        <w:rPr>
          <w:rFonts w:ascii="Times New Roman"/>
          <w:sz w:val="28"/>
        </w:rPr>
        <w:t>• </w:t>
      </w:r>
      <w:r>
        <w:rPr>
          <w:rFonts w:ascii="Times New Roman" w:hAnsi="Times New Roman"/>
          <w:sz w:val="28"/>
        </w:rPr>
        <w:t xml:space="preserve">Потери с уходящими газами.</w:t>
      </w:r>
    </w:p>
    <w:p>
      <w:pPr>
        <w:jc w:val="center"/>
        <w:spacing w:after="120"/>
      </w:pPr>
      <w:r>
        <w:rPr>
          <w:rFonts w:ascii="Times New Roman" w:hAnsi="Times New Roman"/>
          <w:sz w:val="24"/>
          <w:b/>
        </w:rPr>
        <w:t>Таблица 9. Тепловой баланс термической печи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Статья прихода/расхода</w:t>
            </w:r>
          </w:p>
        </w:tc>
        <w:tc>
          <w:tcPr>
            <w:vAlign w:val="center"/>
          </w:tcPr>
          <w:p>
            <w:pPr>
              <w:jc w:val="center"/>
            </w:pPr>
            <w:r>
              <w:rPr>
                <w:rFonts w:ascii="Times New Roman"/>
                <w:sz w:val="24"/>
                <w:b/>
              </w:rPr>
              <w:t>Тепловой поток, МДж/ч</w:t>
            </w:r>
          </w:p>
        </w:tc>
        <w:tc>
          <w:tcPr>
            <w:vAlign w:val="center"/>
          </w:tcPr>
          <w:p>
            <w:pPr>
              <w:jc w:val="center"/>
            </w:pPr>
            <w:r>
              <w:rPr>
                <w:rFonts w:ascii="Times New Roman"/>
                <w:sz w:val="24"/>
                <w:b/>
              </w:rPr>
              <w:t>Доля, %</w:t>
            </w:r>
          </w:p>
        </w:tc>
      </w:tr>
      <w:tr>
        <w:tc>
          <w:tcPr>
            <w:vAlign w:val="center"/>
          </w:tcPr>
          <w:p>
            <w:pPr>
              <w:jc w:val="center"/>
            </w:pPr>
            <w:r>
              <w:rPr>
                <w:rFonts w:ascii="Times New Roman"/>
                <w:sz w:val="24"/>
              </w:rPr>
              <w:t>Приход:</w:t>
            </w:r>
          </w:p>
        </w:tc>
        <w:tc>
          <w:tcPr>
            <w:vAlign w:val="center"/>
          </w:tcPr>
          <w:p>
            <w:pPr>
              <w:jc w:val="center"/>
            </w:pPr>
            <w:r>
              <w:rPr>
                <w:rFonts w:ascii="Times New Roman"/>
                <w:sz w:val="24"/>
              </w:rPr>
              <w:t/>
            </w:r>
          </w:p>
        </w:tc>
        <w:tc>
          <w:tcPr>
            <w:vAlign w:val="center"/>
          </w:tcPr>
          <w:p>
            <w:pPr>
              <w:jc w:val="center"/>
            </w:pPr>
            <w:r>
              <w:rPr>
                <w:rFonts w:ascii="Times New Roman"/>
                <w:sz w:val="24"/>
              </w:rPr>
              <w:t/>
            </w:r>
          </w:p>
        </w:tc>
      </w:tr>
      <w:tr>
        <w:tc>
          <w:tcPr>
            <w:vAlign w:val="center"/>
          </w:tcPr>
          <w:p>
            <w:pPr>
              <w:jc w:val="center"/>
            </w:pPr>
            <w:r>
              <w:rPr>
                <w:rFonts w:ascii="Times New Roman"/>
                <w:sz w:val="24"/>
              </w:rPr>
              <w:t>Теплота реакций окисления</w:t>
            </w:r>
          </w:p>
        </w:tc>
        <w:tc>
          <w:tcPr>
            <w:vAlign w:val="center"/>
          </w:tcPr>
          <w:p>
            <w:pPr>
              <w:jc w:val="center"/>
            </w:pPr>
            <w:r>
              <w:rPr>
                <w:rFonts w:ascii="Times New Roman"/>
                <w:sz w:val="24"/>
              </w:rPr>
              <w:t>37200</w:t>
            </w:r>
          </w:p>
        </w:tc>
        <w:tc>
          <w:tcPr>
            <w:vAlign w:val="center"/>
          </w:tcPr>
          <w:p>
            <w:pPr>
              <w:jc w:val="center"/>
            </w:pPr>
            <w:r>
              <w:rPr>
                <w:rFonts w:ascii="Times New Roman"/>
                <w:sz w:val="24"/>
              </w:rPr>
              <w:t>96.5</w:t>
            </w:r>
          </w:p>
        </w:tc>
      </w:tr>
      <w:tr>
        <w:tc>
          <w:tcPr>
            <w:vAlign w:val="center"/>
          </w:tcPr>
          <w:p>
            <w:pPr>
              <w:jc w:val="center"/>
            </w:pPr>
            <w:r>
              <w:rPr>
                <w:rFonts w:ascii="Times New Roman"/>
                <w:sz w:val="24"/>
              </w:rPr>
              <w:t>Физическое тепло кислого газа</w:t>
            </w:r>
          </w:p>
        </w:tc>
        <w:tc>
          <w:tcPr>
            <w:vAlign w:val="center"/>
          </w:tcPr>
          <w:p>
            <w:pPr>
              <w:jc w:val="center"/>
            </w:pPr>
            <w:r>
              <w:rPr>
                <w:rFonts w:ascii="Times New Roman"/>
                <w:sz w:val="24"/>
              </w:rPr>
              <w:t>850</w:t>
            </w:r>
          </w:p>
        </w:tc>
        <w:tc>
          <w:tcPr>
            <w:vAlign w:val="center"/>
          </w:tcPr>
          <w:p>
            <w:pPr>
              <w:jc w:val="center"/>
            </w:pPr>
            <w:r>
              <w:rPr>
                <w:rFonts w:ascii="Times New Roman"/>
                <w:sz w:val="24"/>
              </w:rPr>
              <w:t>2.2</w:t>
            </w:r>
          </w:p>
        </w:tc>
      </w:tr>
      <w:tr>
        <w:tc>
          <w:tcPr>
            <w:vAlign w:val="center"/>
          </w:tcPr>
          <w:p>
            <w:pPr>
              <w:jc w:val="center"/>
            </w:pPr>
            <w:r>
              <w:rPr>
                <w:rFonts w:ascii="Times New Roman"/>
                <w:sz w:val="24"/>
              </w:rPr>
              <w:t>Физическое тепло воздуха</w:t>
            </w:r>
          </w:p>
        </w:tc>
        <w:tc>
          <w:tcPr>
            <w:vAlign w:val="center"/>
          </w:tcPr>
          <w:p>
            <w:pPr>
              <w:jc w:val="center"/>
            </w:pPr>
            <w:r>
              <w:rPr>
                <w:rFonts w:ascii="Times New Roman"/>
                <w:sz w:val="24"/>
              </w:rPr>
              <w:t>320</w:t>
            </w:r>
          </w:p>
        </w:tc>
        <w:tc>
          <w:tcPr>
            <w:vAlign w:val="center"/>
          </w:tcPr>
          <w:p>
            <w:pPr>
              <w:jc w:val="center"/>
            </w:pPr>
            <w:r>
              <w:rPr>
                <w:rFonts w:ascii="Times New Roman"/>
                <w:sz w:val="24"/>
              </w:rPr>
              <w:t>0.8</w:t>
            </w:r>
          </w:p>
        </w:tc>
      </w:tr>
      <w:tr>
        <w:tc>
          <w:tcPr>
            <w:vAlign w:val="center"/>
          </w:tcPr>
          <w:p>
            <w:pPr>
              <w:jc w:val="center"/>
            </w:pPr>
            <w:r>
              <w:rPr>
                <w:rFonts w:ascii="Times New Roman"/>
                <w:sz w:val="24"/>
              </w:rPr>
              <w:t>Теплота сгорания углеводородов</w:t>
            </w:r>
          </w:p>
        </w:tc>
        <w:tc>
          <w:tcPr>
            <w:vAlign w:val="center"/>
          </w:tcPr>
          <w:p>
            <w:pPr>
              <w:jc w:val="center"/>
            </w:pPr>
            <w:r>
              <w:rPr>
                <w:rFonts w:ascii="Times New Roman"/>
                <w:sz w:val="24"/>
              </w:rPr>
              <w:t>180</w:t>
            </w:r>
          </w:p>
        </w:tc>
        <w:tc>
          <w:tcPr>
            <w:vAlign w:val="center"/>
          </w:tcPr>
          <w:p>
            <w:pPr>
              <w:jc w:val="center"/>
            </w:pPr>
            <w:r>
              <w:rPr>
                <w:rFonts w:ascii="Times New Roman"/>
                <w:sz w:val="24"/>
              </w:rPr>
              <w:t>0.5</w:t>
            </w:r>
          </w:p>
        </w:tc>
      </w:tr>
      <w:tr>
        <w:tc>
          <w:tcPr>
            <w:vAlign w:val="center"/>
          </w:tcPr>
          <w:p>
            <w:pPr>
              <w:jc w:val="center"/>
            </w:pPr>
            <w:r>
              <w:rPr>
                <w:rFonts w:ascii="Times New Roman"/>
                <w:sz w:val="24"/>
              </w:rPr>
              <w:t>Итого приход</w:t>
            </w:r>
          </w:p>
        </w:tc>
        <w:tc>
          <w:tcPr>
            <w:vAlign w:val="center"/>
          </w:tcPr>
          <w:p>
            <w:pPr>
              <w:jc w:val="center"/>
            </w:pPr>
            <w:r>
              <w:rPr>
                <w:rFonts w:ascii="Times New Roman"/>
                <w:sz w:val="24"/>
              </w:rPr>
              <w:t>38550</w:t>
            </w:r>
          </w:p>
        </w:tc>
        <w:tc>
          <w:tcPr>
            <w:vAlign w:val="center"/>
          </w:tcPr>
          <w:p>
            <w:pPr>
              <w:jc w:val="center"/>
            </w:pPr>
            <w:r>
              <w:rPr>
                <w:rFonts w:ascii="Times New Roman"/>
                <w:sz w:val="24"/>
              </w:rPr>
              <w:t>100</w:t>
            </w:r>
          </w:p>
        </w:tc>
      </w:tr>
      <w:tr>
        <w:tc>
          <w:tcPr>
            <w:vAlign w:val="center"/>
          </w:tcPr>
          <w:p>
            <w:pPr>
              <w:jc w:val="center"/>
            </w:pPr>
            <w:r>
              <w:rPr>
                <w:rFonts w:ascii="Times New Roman"/>
                <w:sz w:val="24"/>
              </w:rPr>
              <w:t>Расход:</w:t>
            </w:r>
          </w:p>
        </w:tc>
        <w:tc>
          <w:tcPr>
            <w:vAlign w:val="center"/>
          </w:tcPr>
          <w:p>
            <w:pPr>
              <w:jc w:val="center"/>
            </w:pPr>
            <w:r>
              <w:rPr>
                <w:rFonts w:ascii="Times New Roman"/>
                <w:sz w:val="24"/>
              </w:rPr>
              <w:t/>
            </w:r>
          </w:p>
        </w:tc>
        <w:tc>
          <w:tcPr>
            <w:vAlign w:val="center"/>
          </w:tcPr>
          <w:p>
            <w:pPr>
              <w:jc w:val="center"/>
            </w:pPr>
            <w:r>
              <w:rPr>
                <w:rFonts w:ascii="Times New Roman"/>
                <w:sz w:val="24"/>
              </w:rPr>
              <w:t/>
            </w:r>
          </w:p>
        </w:tc>
      </w:tr>
      <w:tr>
        <w:tc>
          <w:tcPr>
            <w:vAlign w:val="center"/>
          </w:tcPr>
          <w:p>
            <w:pPr>
              <w:jc w:val="center"/>
            </w:pPr>
            <w:r>
              <w:rPr>
                <w:rFonts w:ascii="Times New Roman"/>
                <w:sz w:val="24"/>
              </w:rPr>
              <w:t>Физическое тепло газов на выходе</w:t>
            </w:r>
          </w:p>
        </w:tc>
        <w:tc>
          <w:tcPr>
            <w:vAlign w:val="center"/>
          </w:tcPr>
          <w:p>
            <w:pPr>
              <w:jc w:val="center"/>
            </w:pPr>
            <w:r>
              <w:rPr>
                <w:rFonts w:ascii="Times New Roman"/>
                <w:sz w:val="24"/>
              </w:rPr>
              <w:t>35100</w:t>
            </w:r>
          </w:p>
        </w:tc>
        <w:tc>
          <w:tcPr>
            <w:vAlign w:val="center"/>
          </w:tcPr>
          <w:p>
            <w:pPr>
              <w:jc w:val="center"/>
            </w:pPr>
            <w:r>
              <w:rPr>
                <w:rFonts w:ascii="Times New Roman"/>
                <w:sz w:val="24"/>
              </w:rPr>
              <w:t>91.0</w:t>
            </w:r>
          </w:p>
        </w:tc>
      </w:tr>
      <w:tr>
        <w:tc>
          <w:tcPr>
            <w:vAlign w:val="center"/>
          </w:tcPr>
          <w:p>
            <w:pPr>
              <w:jc w:val="center"/>
            </w:pPr>
            <w:r>
              <w:rPr>
                <w:rFonts w:ascii="Times New Roman"/>
                <w:sz w:val="24"/>
              </w:rPr>
              <w:t>Потери через футеровку</w:t>
            </w:r>
          </w:p>
        </w:tc>
        <w:tc>
          <w:tcPr>
            <w:vAlign w:val="center"/>
          </w:tcPr>
          <w:p>
            <w:pPr>
              <w:jc w:val="center"/>
            </w:pPr>
            <w:r>
              <w:rPr>
                <w:rFonts w:ascii="Times New Roman"/>
                <w:sz w:val="24"/>
              </w:rPr>
              <w:t>1540</w:t>
            </w:r>
          </w:p>
        </w:tc>
        <w:tc>
          <w:tcPr>
            <w:vAlign w:val="center"/>
          </w:tcPr>
          <w:p>
            <w:pPr>
              <w:jc w:val="center"/>
            </w:pPr>
            <w:r>
              <w:rPr>
                <w:rFonts w:ascii="Times New Roman"/>
                <w:sz w:val="24"/>
              </w:rPr>
              <w:t>4.0</w:t>
            </w:r>
          </w:p>
        </w:tc>
      </w:tr>
      <w:tr>
        <w:tc>
          <w:tcPr>
            <w:vAlign w:val="center"/>
          </w:tcPr>
          <w:p>
            <w:pPr>
              <w:jc w:val="center"/>
            </w:pPr>
            <w:r>
              <w:rPr>
                <w:rFonts w:ascii="Times New Roman"/>
                <w:sz w:val="24"/>
              </w:rPr>
              <w:t>Потери с излучением</w:t>
            </w:r>
          </w:p>
        </w:tc>
        <w:tc>
          <w:tcPr>
            <w:vAlign w:val="center"/>
          </w:tcPr>
          <w:p>
            <w:pPr>
              <w:jc w:val="center"/>
            </w:pPr>
            <w:r>
              <w:rPr>
                <w:rFonts w:ascii="Times New Roman"/>
                <w:sz w:val="24"/>
              </w:rPr>
              <w:t>1910</w:t>
            </w:r>
          </w:p>
        </w:tc>
        <w:tc>
          <w:tcPr>
            <w:vAlign w:val="center"/>
          </w:tcPr>
          <w:p>
            <w:pPr>
              <w:jc w:val="center"/>
            </w:pPr>
            <w:r>
              <w:rPr>
                <w:rFonts w:ascii="Times New Roman"/>
                <w:sz w:val="24"/>
              </w:rPr>
              <w:t>5.0</w:t>
            </w:r>
          </w:p>
        </w:tc>
      </w:tr>
      <w:tr>
        <w:tc>
          <w:tcPr>
            <w:vAlign w:val="center"/>
          </w:tcPr>
          <w:p>
            <w:pPr>
              <w:jc w:val="center"/>
            </w:pPr>
            <w:r>
              <w:rPr>
                <w:rFonts w:ascii="Times New Roman"/>
                <w:sz w:val="24"/>
              </w:rPr>
              <w:t>Итого расход</w:t>
            </w:r>
          </w:p>
        </w:tc>
        <w:tc>
          <w:tcPr>
            <w:vAlign w:val="center"/>
          </w:tcPr>
          <w:p>
            <w:pPr>
              <w:jc w:val="center"/>
            </w:pPr>
            <w:r>
              <w:rPr>
                <w:rFonts w:ascii="Times New Roman"/>
                <w:sz w:val="24"/>
              </w:rPr>
              <w:t>38550</w:t>
            </w:r>
          </w:p>
        </w:tc>
        <w:tc>
          <w:tcPr>
            <w:vAlign w:val="center"/>
          </w:tcPr>
          <w:p>
            <w:pPr>
              <w:jc w:val="center"/>
            </w:pPr>
            <w:r>
              <w:rPr>
                <w:rFonts w:ascii="Times New Roman"/>
                <w:sz w:val="24"/>
              </w:rPr>
              <w:t>100</w:t>
            </w:r>
          </w:p>
        </w:tc>
      </w:tr>
    </w:tbl>
    <w:p>
      <w:r>
        <w:t/>
      </w:r>
    </w:p>
    <w:p>
      <w:pPr>
        <w:jc w:val="both"/>
        <w:ind w:firstLine="708"/>
        <w:spacing w:line="360" w:lineRule="auto"/>
      </w:pPr>
      <w:r>
        <w:rPr>
          <w:rFonts w:ascii="Times New Roman" w:hAnsi="Times New Roman"/>
          <w:sz w:val="28"/>
        </w:rPr>
        <w:t xml:space="preserve">Каталитические реакторы также характеризуются значительным тепловыделением вследствие экзотермичности реакции Клауса (тепловой эффект составляет 146 МДж/кмоль образующейся серы). Для предотвращения перегрева катализатора и смещения равновесия реакции необходимо эффективное отведение тепла. В промышленных установках применяется адиабатический режим работы реакторов с промежуточным охлаждением газового потока между ступенями.</w:t>
      </w:r>
    </w:p>
    <w:p>
      <w:pPr>
        <w:jc w:val="both"/>
        <w:ind w:firstLine="708"/>
        <w:spacing w:line="360" w:lineRule="auto"/>
      </w:pPr>
      <w:r>
        <w:rPr>
          <w:rFonts w:ascii="Times New Roman" w:hAnsi="Times New Roman"/>
          <w:sz w:val="28"/>
        </w:rPr>
        <w:t xml:space="preserve">Тепловой баланс первого каталитического реактора при конверсии 3500 кг/ч серы показывает выделение около 15900 МДж/ч тепла. Это приводит к повышению температуры газового потока на 80-120°C относительно входной температуры 230-250°C. Для контроля температурного режима используется система байпасирования части газа мимо реактора с последующим смешением потоков.</w:t>
      </w:r>
    </w:p>
    <w:p>
      <w:pPr>
        <w:jc w:val="both"/>
        <w:ind w:firstLine="708"/>
        <w:spacing w:line="360" w:lineRule="auto"/>
      </w:pPr>
      <w:r>
        <w:rPr>
          <w:rFonts w:ascii="Times New Roman" w:hAnsi="Times New Roman"/>
          <w:sz w:val="28"/>
        </w:rPr>
        <w:t xml:space="preserve">Конденсаторы серы работают в режиме охлаждения газового потока от температуры выхода из реактора (300-350°C) до температуры затвердевания серы (130-150°C). Отводимое тепло частично используется для получения насыщенного пара давлением 0,3-0,6 МПа, который направляется на технологические нужды установки или в общезаводскую сеть. Тепловая нагрузка конденсатора после первой каталитической ступени составляет около 12000 МДж/ч, что позволяет генерировать до 4000 кг/ч пара.</w:t>
      </w:r>
    </w:p>
    <w:p>
      <w:pPr>
        <w:jc w:val="both"/>
        <w:ind w:firstLine="708"/>
        <w:spacing w:line="360" w:lineRule="auto"/>
      </w:pPr>
      <w:r>
        <w:rPr>
          <w:rFonts w:ascii="Times New Roman" w:hAnsi="Times New Roman"/>
          <w:sz w:val="28"/>
        </w:rPr>
        <w:t xml:space="preserve">Подогреватель кислого газа перед термической печью использует тепло газов после конденсатора серы, нагревая исходный поток от 40-60°C до 180-220°C. Это повышает общую энергоэффективность установки и снижает расход топливного газа на печь. Рекуперация тепла позволяет экономить до 2500 МДж/ч энергии.</w:t>
      </w:r>
    </w:p>
    <w:p>
      <w:pPr>
        <w:jc w:val="both"/>
        <w:ind w:firstLine="708"/>
        <w:spacing w:line="360" w:lineRule="auto"/>
      </w:pPr>
      <w:r>
        <w:rPr>
          <w:rFonts w:ascii="Times New Roman" w:hAnsi="Times New Roman"/>
          <w:sz w:val="28"/>
        </w:rPr>
        <w:t xml:space="preserve">Реактор гидрирования блока SCOT характеризуется умеренным тепловыделением (около 3500 МДж/ч) за счет экзотермичности реакций восстановления SO₂ и серы водородом. Температурный режим поддерживается подачей части газа в байпас и регулированием расхода водородсодержащего газа. Абсорбер H₂S работает с отводом тепла абсорбции (около 2800 МДж/ч) через систему циркуляции охлажденного аминового раствора</w:t>
      </w:r>
      <w:hyperlink w:anchor="_Source_19">
        <w:r>
          <w:rPr>
            <w:rFonts w:ascii="Times New Roman" w:hAnsi="Times New Roman"/>
            <w:sz w:val="28"/>
            <w:rStyle w:val="Hyperlink"/>
          </w:rPr>
          <w:t>[19]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Общий тепловой баланс установки утилизации сероводорода показывает значительный избыток тепла, который может быть использован для генерации пара, подогрева технологических потоков или отопительных нужд. При производительности 10000 нм³/ч кислого газа полезно утилизируется около 28000 МДж/ч тепла, что эквивалентно экономии 1000 кг условного топлива в час. Оптимизация тепловой схемы установки позволяет повысить энергоэффективность процесса на 15-20% по сравнению с базовыми решениями без глубокой рекуперации тепла.</w:t>
      </w:r>
    </w:p>
    <w:p>
      <w:pPr>
        <w:jc w:val="both"/>
        <w:ind w:firstLine="708"/>
        <w:spacing w:line="360" w:lineRule="auto"/>
      </w:pPr>
      <w:r>
        <w:rPr>
          <w:rFonts w:ascii="Times New Roman" w:hAnsi="Times New Roman"/>
          <w:sz w:val="28"/>
        </w:rPr>
        <w:t xml:space="preserve">Технологический расчет реконструируемого узла утилизации сероводорода является ключевым этапом проектирования, обеспечивающим оптимальную работу системы и соответствие экологическим требованиям. Данный раздел включает расчет основного и вспомогательного оборудования, гидравлический анализ системы, а также определение потребности в энергоресурсах. Правильный выбор технологической схемы и точность расчетов напрямую влияют на эффективность утилизации сероводорода, безопасность процесса и экономическую целесообразность реконструкции.</w:t>
      </w:r>
    </w:p>
    <w:p>
      <w:pPr>
        <w:pStyle w:val="Heading2"/>
        <w:spacing w:before="240" w:after="120"/>
      </w:pPr>
      <w:r>
        <w:rPr>
          <w:rFonts w:ascii="Times New Roman" w:hAnsi="Times New Roman"/>
          <w:b/>
          <w:sz w:val="28"/>
        </w:rPr>
        <w:t xml:space="preserve">Расчет основного технологического оборудования</w:t>
      </w:r>
    </w:p>
    <w:p>
      <w:pPr>
        <w:jc w:val="both"/>
        <w:ind w:firstLine="708"/>
        <w:spacing w:line="360" w:lineRule="auto"/>
      </w:pPr>
      <w:r>
        <w:rPr>
          <w:rFonts w:ascii="Times New Roman" w:hAnsi="Times New Roman"/>
          <w:sz w:val="28"/>
        </w:rPr>
        <w:t xml:space="preserve">Расчет основного технологического оборудования начинается с определения производительности установки и материального баланса процесса. Исходными данными служат концентрация сероводорода в кислом газе, объемный расход газового потока и требуемая степень очистки. Для установки Клауса основным оборудованием являются термический реактор, каталитические конверторы и конденсаторы серы.</w:t>
      </w:r>
    </w:p>
    <w:p>
      <w:pPr>
        <w:jc w:val="both"/>
        <w:ind w:firstLine="708"/>
        <w:spacing w:line="360" w:lineRule="auto"/>
      </w:pPr>
      <w:r>
        <w:rPr>
          <w:rFonts w:ascii="Times New Roman" w:hAnsi="Times New Roman"/>
          <w:sz w:val="28"/>
        </w:rPr>
        <w:t xml:space="preserve">Термический реактор представляет собой печь сжигания, где происходит частичное окисление сероводорода при температуре 900-1400°C. Расчет реактора включает определение необходимого объема камеры сгорания, времени пребывания газов и тепловой нагрузки. Объем термического реактора рассчитывается исходя из скорости газового потока и требуемого времени контакта, которое обычно составляет 0,5-2,0 секунды. Тепловая мощность печи определяется теплотой сгорания сероводорода с учетом потерь в окружающую среду.</w:t>
      </w:r>
    </w:p>
    <w:p>
      <w:pPr>
        <w:jc w:val="both"/>
        <w:ind w:firstLine="708"/>
        <w:spacing w:line="360" w:lineRule="auto"/>
      </w:pPr>
      <w:r>
        <w:rPr>
          <w:rFonts w:ascii="Times New Roman" w:hAnsi="Times New Roman"/>
          <w:sz w:val="28"/>
        </w:rPr>
        <w:t xml:space="preserve">Каталитические конверторы обеспечивают дальнейшее превращение оставшегося сероводорода и диоксида серы в элементарную серу по реакции Клауса. Расчет конверторов включает определение объема катализатора, необходимого для достижения требуемой степени конверсии. Объем катализатора зависит от объемной скорости газа, которая обычно составляет 1000-2000 ч⁻¹, и желаемой степени превращения. Для трехступенчатой схемы Клауса типичные степени конверсии составляют 60-70% на первой ступени, 20-25% на второй и 10-15% на третьей ступени.</w:t>
      </w:r>
    </w:p>
    <w:p>
      <w:pPr>
        <w:jc w:val="both"/>
        <w:ind w:firstLine="708"/>
        <w:spacing w:line="360" w:lineRule="auto"/>
      </w:pPr>
      <w:r>
        <w:rPr>
          <w:rFonts w:ascii="Times New Roman" w:hAnsi="Times New Roman"/>
          <w:sz w:val="28"/>
        </w:rPr>
        <w:t xml:space="preserve">Конденсаторы серы предназначены для охлаждения газового потока и конденсации паров серы. Расчет теплообменной поверхности конденсаторов выполняется на основе уравнения теплопередачи с учетом коэффициента теплопередачи, который для газо-жидкостных систем составляет 50-150 Вт/(м²·К). Температура конденсации серы поддерживается на уровне 130-160°C для предотвращения кристаллизации и обеспечения эффективного отделения жидкой серы.</w:t>
      </w:r>
    </w:p>
    <w:p>
      <w:pPr>
        <w:jc w:val="both"/>
        <w:ind w:firstLine="708"/>
        <w:spacing w:line="360" w:lineRule="auto"/>
      </w:pPr>
      <w:r>
        <w:rPr>
          <w:rFonts w:ascii="Times New Roman" w:hAnsi="Times New Roman"/>
          <w:sz w:val="28"/>
        </w:rPr>
        <w:t xml:space="preserve">Для схемы SCOT (Super Claus Off-gas Treating) дополнительно рассчитывается гидрогенизационный реактор и абсорбер. В гидрогенизационном реакторе остаточные соединения серы восстанавливаются до сероводорода при температуре 250-350°C. Объем катализатора гидрогенизации определяется исходя из концентрации соединений серы в хвостовых газах и требуемой степени восстановления, обычно превышающей 95%.</w:t>
      </w:r>
    </w:p>
    <w:p>
      <w:pPr>
        <w:jc w:val="both"/>
        <w:ind w:firstLine="708"/>
        <w:spacing w:line="360" w:lineRule="auto"/>
      </w:pPr>
      <w:r>
        <w:rPr>
          <w:rFonts w:ascii="Times New Roman" w:hAnsi="Times New Roman"/>
          <w:sz w:val="28"/>
        </w:rPr>
        <w:t xml:space="preserve">Абсорбер SCOT работает с использованием аминового раствора для поглощения сероводорода из гидрогенизированного газа. Расчет абсорбера включает определение высоты насадочного слоя или числа тарелок, диаметра колонны и расхода абсорбента. Высота насадочного слоя рассчитывается через число единиц переноса (NTU) и высоту единицы переноса (HTU), которая для современных насадок составляет 0,3-0,8 м. Диаметр абсорбера определяется из допустимой скорости газа, которая не должна превышать 70-80% от скорости захлебывания.</w:t>
      </w:r>
    </w:p>
    <w:p>
      <w:pPr>
        <w:jc w:val="both"/>
        <w:ind w:firstLine="708"/>
        <w:spacing w:line="360" w:lineRule="auto"/>
      </w:pPr>
      <w:r>
        <w:rPr>
          <w:rFonts w:ascii="Times New Roman" w:hAnsi="Times New Roman"/>
          <w:sz w:val="28"/>
        </w:rPr>
        <w:t xml:space="preserve">При выборе аминовой схемы основным оборудованием являются абсорбер и десорбер. Абсорбер рассчитывается аналогично абсорберу SCOT, но с учетом более высоких концентраций сероводорода во входном потоке. Десорбер предназначен для регенерации насыщенного аминового раствора путем отгонки кислых газов при температуре 100-130°C и давлении, близком к атмосферному. Расчет десорбера включает определение теплоты десорбции, необходимой для испарения воды и отгонки сероводорода, а также расчет ребойлера для подвода тепла в низ колонны.</w:t>
      </w:r>
    </w:p>
    <w:p>
      <w:pPr>
        <w:jc w:val="both"/>
        <w:ind w:firstLine="708"/>
        <w:spacing w:line="360" w:lineRule="auto"/>
      </w:pPr>
      <w:r>
        <w:rPr>
          <w:rFonts w:ascii="Times New Roman" w:hAnsi="Times New Roman"/>
          <w:sz w:val="28"/>
        </w:rPr>
        <w:t xml:space="preserve">Материальный баланс установки составляется на основе стехиометрических уравнений реакций с учетом степеней превращения на каждой стадии процесса. Для установки Клауса основной реакцией в термическом реакторе является окисление одной трети сероводорода кислородом воздуха, а в каталитических конверторах протекает реакция между оставшимся сероводородом и образовавшимся диоксидом серы. Тепловой баланс учитывает экзотермический характер реакций и необходимость отвода тепла для поддержания оптимальных температурных режимов.</w:t>
      </w:r>
    </w:p>
    <w:p>
      <w:pPr>
        <w:pStyle w:val="Heading2"/>
        <w:spacing w:before="240" w:after="120"/>
      </w:pPr>
      <w:r>
        <w:rPr>
          <w:rFonts w:ascii="Times New Roman" w:hAnsi="Times New Roman"/>
          <w:b/>
          <w:sz w:val="28"/>
        </w:rPr>
        <w:t xml:space="preserve">Гидравлический расчет системы</w:t>
      </w:r>
    </w:p>
    <w:p>
      <w:pPr>
        <w:jc w:val="both"/>
        <w:ind w:firstLine="708"/>
        <w:spacing w:line="360" w:lineRule="auto"/>
      </w:pPr>
      <w:r>
        <w:rPr>
          <w:rFonts w:ascii="Times New Roman" w:hAnsi="Times New Roman"/>
          <w:sz w:val="28"/>
        </w:rPr>
        <w:t xml:space="preserve">Гидравлический расчет системы утилизации сероводорода необходим для определения перепадов давления в аппаратах и трубопроводах, выбора компрессорного оборудования и обеспечения надежной работы установки. Расчет начинается с определения гидравлического сопротивления каждого элемента технологической схемы.</w:t>
      </w:r>
    </w:p>
    <w:p>
      <w:pPr>
        <w:jc w:val="both"/>
        <w:ind w:firstLine="708"/>
        <w:spacing w:line="360" w:lineRule="auto"/>
      </w:pPr>
      <w:r>
        <w:rPr>
          <w:rFonts w:ascii="Times New Roman" w:hAnsi="Times New Roman"/>
          <w:sz w:val="28"/>
        </w:rPr>
        <w:t xml:space="preserve">Перепад давления в термическом реакторе складывается из потерь на входе в камеру сгорания, потерь на трение в объеме реактора и потерь на выходе. Гидравлическое сопротивление печи обычно не превышает 5-10 кПа благодаря большому поперечному сечению и относительно низкой скорости газового потока. Важным параметром является обеспечение равномерного распределения газа по сечению реактора для предотвращения образования застойных зон и неполного сгорания.</w:t>
      </w:r>
    </w:p>
    <w:p>
      <w:pPr>
        <w:jc w:val="both"/>
        <w:ind w:firstLine="708"/>
        <w:spacing w:line="360" w:lineRule="auto"/>
      </w:pPr>
      <w:r>
        <w:rPr>
          <w:rFonts w:ascii="Times New Roman" w:hAnsi="Times New Roman"/>
          <w:sz w:val="28"/>
        </w:rPr>
        <w:t xml:space="preserve">В каталитических конверторах основное гидравлическое сопротивление создается слоем катализатора. Перепад давления в слое катализатора рассчитывается по уравнению Эргана или его модификациям с учетом размера гранул катализатора, порозности слоя и скорости газа. Для типичных условий работы конвертора Клауса перепад давления на одной ступени составляет 10-30 кПа. Суммарное гидравлическое сопротивление трехступенчатой установки может достигать 100-150 кПа, что необходимо учитывать при выборе воздуходувки или компрессора.</w:t>
      </w:r>
    </w:p>
    <w:p>
      <w:pPr>
        <w:jc w:val="both"/>
        <w:ind w:firstLine="708"/>
        <w:spacing w:line="360" w:lineRule="auto"/>
      </w:pPr>
      <w:r>
        <w:rPr>
          <w:rFonts w:ascii="Times New Roman" w:hAnsi="Times New Roman"/>
          <w:sz w:val="28"/>
        </w:rPr>
        <w:t xml:space="preserve">Конденсаторы серы представляют собой кожухотрубные теплообменники, в которых газ движется в трубном или межтрубном пространстве. Гидравлическое сопротивление конденсатора определяется по стандартным методикам расчета теплообменников и обычно составляет 5-15 кПа. Важно обеспечить достаточную скорость газа для предотвращения осаждения серы на поверхности теплообмена, но не настолько высокую, чтобы вызвать унос капель серы.</w:t>
      </w:r>
    </w:p>
    <w:p>
      <w:pPr>
        <w:jc w:val="both"/>
        <w:ind w:firstLine="708"/>
        <w:spacing w:line="360" w:lineRule="auto"/>
      </w:pPr>
      <w:r>
        <w:rPr>
          <w:rFonts w:ascii="Times New Roman" w:hAnsi="Times New Roman"/>
          <w:sz w:val="28"/>
        </w:rPr>
        <w:t xml:space="preserve">В абсорбере SCOT или аминовой установки гидравлическое сопротивление зависит от типа контактного устройства. Для насадочных колонн перепад давления рассчитывается через удельное сопротивление насадки, которое для современных регулярных насадок составляет 100-300 Па/м при рабочих нагрузках. Для тарельчатых колонн гидравлическое сопротивление одной тарелки составляет 0,5-1,5 кПа, а общий перепад давления определяется числом тарелок. Обычно абсорбер имеет 15-30 тарелок, что дает суммарное сопротивление 15-45 кПа.</w:t>
      </w:r>
    </w:p>
    <w:p>
      <w:pPr>
        <w:jc w:val="both"/>
        <w:ind w:firstLine="708"/>
        <w:spacing w:line="360" w:lineRule="auto"/>
      </w:pPr>
      <w:r>
        <w:rPr>
          <w:rFonts w:ascii="Times New Roman" w:hAnsi="Times New Roman"/>
          <w:sz w:val="28"/>
        </w:rPr>
        <w:t xml:space="preserve">Расчет трубопроводной системы включает определение диаметров трубопроводов и потерь давления на трение и местные сопротивления. Диаметр трубопровода выбирается исходя из допустимой скорости газа, которая для кислых газов составляет 15-25 м/с, а для воздуха и хвостовых газов может достигать 30-40 м/с. Потери давления на трение рассчитываются по уравнению Дарси-Вейсбаха с учетом коэффициента трения, который зависит от режима течения и шероховатости стенок трубы.</w:t>
      </w:r>
    </w:p>
    <w:p>
      <w:pPr>
        <w:jc w:val="both"/>
        <w:ind w:firstLine="708"/>
        <w:spacing w:line="360" w:lineRule="auto"/>
      </w:pPr>
      <w:r>
        <w:rPr>
          <w:rFonts w:ascii="Times New Roman" w:hAnsi="Times New Roman"/>
          <w:sz w:val="28"/>
        </w:rPr>
        <w:t xml:space="preserve">Местные сопротивления создаются поворотами, переходами, клапанами и другими элементами трубопроводной системы. Каждый элемент характеризуется коэффициентом местного сопротивления, а суммарные потери определяются как сумма произведений коэффициентов на скоростной напор. Для сложной трубопроводной системы установки утилизации сероводорода местные потери могут составлять 20-40% от потерь на трение.</w:t>
      </w:r>
    </w:p>
    <w:p>
      <w:pPr>
        <w:jc w:val="both"/>
        <w:ind w:firstLine="708"/>
        <w:spacing w:line="360" w:lineRule="auto"/>
      </w:pPr>
      <w:r>
        <w:rPr>
          <w:rFonts w:ascii="Times New Roman" w:hAnsi="Times New Roman"/>
          <w:sz w:val="28"/>
        </w:rPr>
        <w:t xml:space="preserve">Общий перепад давления в системе определяет требуемое давление нагнетания воздуходувки или компрессора. Для установки Клауса с последующей обработкой хвостовых газов суммарное гидравлическое сопротивление может составлять 150-250 кПа. К этому значению добавляется запас 10-20% для компенсации загрязнения катализатора и изменения условий эксплуатации. Выбор компрессорного оборудования осуществляется с учетом требуемой производительности, давления нагнетания и свойств перекачиваемого газа.</w:t>
      </w:r>
    </w:p>
    <w:p>
      <w:pPr>
        <w:pStyle w:val="Heading2"/>
        <w:spacing w:before="240" w:after="120"/>
      </w:pPr>
      <w:r>
        <w:rPr>
          <w:rFonts w:ascii="Times New Roman" w:hAnsi="Times New Roman"/>
          <w:b/>
          <w:sz w:val="28"/>
        </w:rPr>
        <w:t xml:space="preserve">Подбор вспомогательного оборудования</w:t>
      </w:r>
    </w:p>
    <w:p>
      <w:pPr>
        <w:jc w:val="both"/>
        <w:ind w:firstLine="708"/>
        <w:spacing w:line="360" w:lineRule="auto"/>
      </w:pPr>
      <w:r>
        <w:rPr>
          <w:rFonts w:ascii="Times New Roman" w:hAnsi="Times New Roman"/>
          <w:sz w:val="28"/>
        </w:rPr>
        <w:t xml:space="preserve">Вспомогательное оборудование установки утилизации сероводорода обеспечивает нормальное функционирование основных аппаратов и включает насосы, компрессоры, теплообменники, емкости и системы контроля. Правильный подбор вспомогательного оборудования критически важен для надежности и экономичности работы установки.</w:t>
      </w:r>
    </w:p>
    <w:p>
      <w:pPr>
        <w:jc w:val="both"/>
        <w:ind w:firstLine="708"/>
        <w:spacing w:line="360" w:lineRule="auto"/>
      </w:pPr>
      <w:r>
        <w:rPr>
          <w:rFonts w:ascii="Times New Roman" w:hAnsi="Times New Roman"/>
          <w:sz w:val="28"/>
        </w:rPr>
        <w:t xml:space="preserve">Насосное оборудование включает насосы для циркуляции аминового раствора, подачи воды на охлаждение и перекачки жидкой серы. Насосы для аминового раствора должны обеспечивать требуемый расход при давлении, превышающем давление в абсорбере на величину гидравлических потерь в системе циркуляции. Типичный расход амина составляет 10-50 м³/ч при давлении 0,5-1,5 МПа. Для этих целей применяются центробежные насосы из коррозионностойких материалов, таких как нержавеющая сталь или сплавы на основе никеля.</w:t>
      </w:r>
    </w:p>
    <w:p>
      <w:pPr>
        <w:jc w:val="both"/>
        <w:ind w:firstLine="708"/>
        <w:spacing w:line="360" w:lineRule="auto"/>
      </w:pPr>
      <w:r>
        <w:rPr>
          <w:rFonts w:ascii="Times New Roman" w:hAnsi="Times New Roman"/>
          <w:sz w:val="28"/>
        </w:rPr>
        <w:t xml:space="preserve">Насосы для жидкой серы работают при температуре 130-160°C и должны иметь паровой или электрический обогрев для предотвращения застывания серы. Производительность серных насосов определяется количеством образующейся серы и обычно составляет 1-10 м³/ч. Применяются специальные насосы с удлиненным валом или погружные насосы, устойчивые к абразивному воздействию кристаллов серы.</w:t>
      </w:r>
    </w:p>
    <w:p>
      <w:pPr>
        <w:jc w:val="both"/>
        <w:ind w:firstLine="708"/>
        <w:spacing w:line="360" w:lineRule="auto"/>
      </w:pPr>
      <w:r>
        <w:rPr>
          <w:rFonts w:ascii="Times New Roman" w:hAnsi="Times New Roman"/>
          <w:sz w:val="28"/>
        </w:rPr>
        <w:t xml:space="preserve">Компрессорное оборудование необходимо для подачи воздуха в термический реактор и, в некоторых случаях, для компримирования хвостовых газов перед сжиганием на факеле. Воздуходувка для подачи воздуха должна обеспечивать расход, соответствующий стехиометрическому соотношению с сероводородом, и давление, достаточное для преодоления гидравлического сопротивления системы. Для установок средней производительности применяются центробежные или винтовые компрессоры с электроприводом мощностью 50-500 кВт.</w:t>
      </w:r>
    </w:p>
    <w:p>
      <w:pPr>
        <w:jc w:val="both"/>
        <w:ind w:firstLine="708"/>
        <w:spacing w:line="360" w:lineRule="auto"/>
      </w:pPr>
      <w:r>
        <w:rPr>
          <w:rFonts w:ascii="Times New Roman" w:hAnsi="Times New Roman"/>
          <w:sz w:val="28"/>
        </w:rPr>
        <w:t xml:space="preserve">Теплообменное оборудование включает нагреватели, охладители и ребойлеры. Нагреватели кислого газа перед подачей в термический реактор могут использоваться для предварительного подогрева с целью снижения расхода топлива. Охладители газа после конверторов и конденсаторы серы являются основными теплообменниками, определяющими эффективность извлечения серы. Ребойлер десорбера обеспечивает подвод тепла для регенерации аминового раствора и обычно работает с паром давлением 0,5-1,0 МПа.</w:t>
      </w:r>
    </w:p>
    <w:p>
      <w:pPr>
        <w:jc w:val="both"/>
        <w:ind w:firstLine="708"/>
        <w:spacing w:line="360" w:lineRule="auto"/>
      </w:pPr>
      <w:r>
        <w:rPr>
          <w:rFonts w:ascii="Times New Roman" w:hAnsi="Times New Roman"/>
          <w:sz w:val="28"/>
        </w:rPr>
        <w:t xml:space="preserve">Емкостное оборудование включает сборники жидкой серы, баки для аминового раствора, сепараторы и отстойники. Сборник серы должен иметь достаточный объем для накопления серы между отгрузками и обычно рассчитывается на 8-24 часа работы установки. Емкость оборудуется системой обогрева для поддержания температуры серы выше точки кристаллизации. Баки для аминового раствора служат для хранения свежего и отработанного раствора, а также для компенсации изменений объема при нагреве и охлаждении.</w:t>
      </w:r>
    </w:p>
    <w:p>
      <w:pPr>
        <w:jc w:val="both"/>
        <w:ind w:firstLine="708"/>
        <w:spacing w:line="360" w:lineRule="auto"/>
      </w:pPr>
      <w:r>
        <w:rPr>
          <w:rFonts w:ascii="Times New Roman" w:hAnsi="Times New Roman"/>
          <w:sz w:val="28"/>
        </w:rPr>
        <w:t xml:space="preserve">Системы контроля и автоматизации обеспечивают мониторинг параметров процесса и управление оборудованием. Основными контролируемыми параметрами являются температура, давление, расход и концентрация компонентов в газовых потоках. Для измерения температуры применяются термопары и термометры сопротивления, для измерения давления – манометры и датчики давления, для измерения расхода – расходомеры различных типов (диафрагменные, вихревые, кориолисовые).</w:t>
      </w:r>
    </w:p>
    <w:p>
      <w:pPr>
        <w:jc w:val="both"/>
        <w:ind w:firstLine="708"/>
        <w:spacing w:line="360" w:lineRule="auto"/>
      </w:pPr>
      <w:r>
        <w:rPr>
          <w:rFonts w:ascii="Times New Roman" w:hAnsi="Times New Roman"/>
          <w:sz w:val="28"/>
        </w:rPr>
        <w:t xml:space="preserve">Анализаторы состава газа включают хроматографы для определения концентрации сероводорода, диоксида серы и других компонентов, а также специализированные анализаторы для непрерывного мониторинга содержания H₂S в хвостовых газах. Система автоматического управления на базе программируемых логических контроллеров (ПЛК) обеспечивает регулирование подачи воздуха, циркуляции амина, температурных режимов и других параметров в соответствии с заданными алгоритмами.</w:t>
      </w:r>
    </w:p>
    <w:p>
      <w:pPr>
        <w:jc w:val="both"/>
        <w:ind w:firstLine="708"/>
        <w:spacing w:line="360" w:lineRule="auto"/>
      </w:pPr>
      <w:r>
        <w:rPr>
          <w:rFonts w:ascii="Times New Roman" w:hAnsi="Times New Roman"/>
          <w:sz w:val="28"/>
        </w:rPr>
        <w:t xml:space="preserve">Системы безопасности включают предохранительные клапаны для защиты от превышения давления, огнепреградители для предотвращения распространения пламени, системы аварийной остановки и сигнализации. Предохранительные клапаны устанавливаются на всех аппаратах, работающих под давлением, и настраиваются на срабатывание при превышении рабочего давления на 10-15%. Системы газоанализа и сигнализации обнаруживают утечки сероводорода и других опасных газов, обеспечивая безопасность персонала и оборудования.</w:t>
      </w:r>
    </w:p>
    <w:p>
      <w:pPr>
        <w:pStyle w:val="Heading2"/>
        <w:spacing w:before="240" w:after="120"/>
      </w:pPr>
      <w:r>
        <w:rPr>
          <w:rFonts w:ascii="Times New Roman" w:hAnsi="Times New Roman"/>
          <w:b/>
          <w:sz w:val="28"/>
        </w:rPr>
        <w:t xml:space="preserve">Расчет потребности в энергоресурсах</w:t>
      </w:r>
    </w:p>
    <w:p>
      <w:pPr>
        <w:jc w:val="both"/>
        <w:ind w:firstLine="708"/>
        <w:spacing w:line="360" w:lineRule="auto"/>
      </w:pPr>
      <w:r>
        <w:rPr>
          <w:rFonts w:ascii="Times New Roman" w:hAnsi="Times New Roman"/>
          <w:sz w:val="28"/>
        </w:rPr>
        <w:t xml:space="preserve">Расчет потребности в энергоресурсах является важной частью технологического проектирования, определяющей эксплуатационные затраты и экономическую эффективность установки. Основными видами энергоресурсов для установки утилизации сероводорода являются электроэнергия, топливный газ, водяной пар и охлаждающая вода.</w:t>
      </w:r>
    </w:p>
    <w:p>
      <w:pPr>
        <w:jc w:val="both"/>
        <w:ind w:firstLine="708"/>
        <w:spacing w:line="360" w:lineRule="auto"/>
      </w:pPr>
      <w:r>
        <w:rPr>
          <w:rFonts w:ascii="Times New Roman" w:hAnsi="Times New Roman"/>
          <w:sz w:val="28"/>
        </w:rPr>
        <w:t xml:space="preserve">Потребность в электроэнергии складывается из затрат на привод компрессорного и насосного оборудования, систем вентиляции и освещения, контрольно-измерительных приборов и систем автоматизации. Основным потребителем электроэнергии является воздуходувка для подачи воздуха в термический реактор. Мощность привода воздуходувки рассчитывается по формуле для адиабатического сжатия газа с учетом КПД компрессора, который обычно составляет 0,7-0,8. Для установки производительностью 10-50 тонн серы в сутки потребляемая мощность воздуходувки составляет 100-500 кВт.</w:t>
      </w:r>
    </w:p>
    <w:p>
      <w:pPr>
        <w:jc w:val="both"/>
        <w:ind w:firstLine="708"/>
        <w:spacing w:line="360" w:lineRule="auto"/>
      </w:pPr>
      <w:r>
        <w:rPr>
          <w:rFonts w:ascii="Times New Roman" w:hAnsi="Times New Roman"/>
          <w:sz w:val="28"/>
        </w:rPr>
        <w:t xml:space="preserve">Насосы для циркуляции аминового раствора и перекачки серы потребляют 20-100 кВт в зависимости от производительности и давления нагнетания. Дополнительные потребители электроэнергии (освещение, вентиляция, КИПиА) составляют 10-20% от основного потребления. Суммарная установленная электрическая мощность для средней установки составляет 150-700 кВт, а годовое потребление электроэнергии при непрерывной работе – 1,3-6,1 млн кВт·ч.</w:t>
      </w:r>
    </w:p>
    <w:p>
      <w:pPr>
        <w:jc w:val="both"/>
        <w:ind w:firstLine="708"/>
        <w:spacing w:line="360" w:lineRule="auto"/>
      </w:pPr>
      <w:r>
        <w:rPr>
          <w:rFonts w:ascii="Times New Roman" w:hAnsi="Times New Roman"/>
          <w:sz w:val="28"/>
        </w:rPr>
        <w:t xml:space="preserve">Топливный газ используется в термическом реакторе для поддержания температуры сжигания, особенно при низкой концентрации сероводорода в кислом газе. Расход топливного газа зависит от теплового баланса реактора и определяется разностью между теплотой, необходимой для нагрева реагентов до температуры реакции, и теплотой, выделяющейся при сгорании сероводорода. При концентрации H₂S в кислом газе выше 50 об.% процесс обычно автотермичен и не требует подвода дополнительного топлива. При более низких концентрациях расход топливного газа может составлять 5-20% от объема кислого газа.</w:t>
      </w:r>
    </w:p>
    <w:p>
      <w:pPr>
        <w:jc w:val="both"/>
        <w:ind w:firstLine="708"/>
        <w:spacing w:line="360" w:lineRule="auto"/>
      </w:pPr>
      <w:r>
        <w:rPr>
          <w:rFonts w:ascii="Times New Roman" w:hAnsi="Times New Roman"/>
          <w:sz w:val="28"/>
        </w:rPr>
        <w:t xml:space="preserve">Водяной пар используется в ребойлере десорбера для регенерации аминового раствора. Удельный расход пара на регенерацию зависит от типа амина и составляет 0,5-1,5 кг пара на 1 кг циркулирующего раствора. Для установки с производительностью по сере 20 тонн в сутки и циркуляцией амина 30 м³/ч расход пара составляет 1,5-4,5 тонн в час при давлении 0,5-1,0 МПа. Годовая потребность в паре при непрерывной работе достигает 13-39 тысяч тонн.</w:t>
      </w:r>
    </w:p>
    <w:p>
      <w:pPr>
        <w:jc w:val="both"/>
        <w:ind w:firstLine="708"/>
        <w:spacing w:line="360" w:lineRule="auto"/>
      </w:pPr>
      <w:r>
        <w:rPr>
          <w:rFonts w:ascii="Times New Roman" w:hAnsi="Times New Roman"/>
          <w:sz w:val="28"/>
        </w:rPr>
        <w:t xml:space="preserve">Охлаждающая вода необходима для конденсации серы, охлаждения газовых потоков, охлаждения аминового раствора после десорбера и охлаждения подшипников компрессоров. Основным потребителем охлаждающей воды являются конденсаторы серы, где температура газа снижается с 250-350°C до 130-160°C. Тепловая нагрузка конденсаторов определяется расходом газа и изменением энтальпии, а расход воды рассчитывается исходя из допустимого нагрева воды, который обычно составляет 10-20°C.</w:t>
      </w:r>
    </w:p>
    <w:p>
      <w:pPr>
        <w:jc w:val="both"/>
        <w:ind w:firstLine="708"/>
        <w:spacing w:line="360" w:lineRule="auto"/>
      </w:pPr>
      <w:r>
        <w:rPr>
          <w:rFonts w:ascii="Times New Roman" w:hAnsi="Times New Roman"/>
          <w:sz w:val="28"/>
        </w:rPr>
        <w:t xml:space="preserve">Для установки производительностью 20 тонн серы в сутки тепловая нагрузка конденсаторов составляет 2-5 МВт, что соответствует расходу охлаждающей воды 150-400 м³/ч. Дополнительные потребители (охладители амина, охлаждение оборудования) увеличивают расход воды на 20-30%. Суммарная потребность в охлаждающей воде составляет 200-550 м³/ч, или 1,75-4,8 млн м³ в год при непрерывной работе. Система оборотного водоснабжения с градирнями позволяет снизить потребление свежей воды до 2-5% от циркуляционного расхода.</w:t>
      </w:r>
    </w:p>
    <w:p>
      <w:pPr>
        <w:jc w:val="both"/>
        <w:ind w:firstLine="708"/>
        <w:spacing w:line="360" w:lineRule="auto"/>
      </w:pPr>
      <w:r>
        <w:rPr>
          <w:rFonts w:ascii="Times New Roman" w:hAnsi="Times New Roman"/>
          <w:sz w:val="28"/>
        </w:rPr>
        <w:t xml:space="preserve">Расчет энергетической эффективности установки включает определение удельных энергозатрат на тонну извлеченной серы. Для современных установок Клауса удельное потребление электроэнергии составляет 50-150 кВт·ч/т серы, пара – 0,5-2,0 т/т серы (для схем с аминовой очисткой), охлаждающей воды – 10-30 м³/т серы. Снижение энергопотребления достигается за счет утилизации тепла газовых потоков, применения энергоэффективного оборудования и оптимизации технологических параметров</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Экономический анализ энергозатрат показывает, что стоимость энергоресурсов составляет 20-40% от общих эксплуатационных затрат установки. Наибольшую долю в структуре энергозатрат занимает стоимость электроэнергии (40-60%), затем следуют расходы на пар (25-40%) и охлаждающую воду (5-15%). Оптимизация энергопотребления является важным резервом повышения экономической эффективности процесса утилизации сероводорода и снижения себестоимости получаемой серы</w:t>
      </w:r>
      <w:hyperlink w:anchor="_Source_20">
        <w:r>
          <w:rPr>
            <w:rFonts w:ascii="Times New Roman" w:hAnsi="Times New Roman"/>
            <w:sz w:val="28"/>
            <w:rStyle w:val="Hyperlink"/>
          </w:rPr>
          <w:t>[20]</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РАСЧЕТ ВЫБРОСОВ ЗАГРЯЗНЯЮЩИХ ВЕЩЕСТВ И ОЦЕНКА ВОЗДЕЙСТВИЯ НА ОКРУЖАЮЩУЮ СРЕДУ</w:t>
      </w:r>
    </w:p>
    <w:p>
      <w:pPr>
        <w:jc w:val="both"/>
        <w:ind w:firstLine="708"/>
        <w:spacing w:line="360" w:lineRule="auto"/>
      </w:pPr>
      <w:r>
        <w:rPr>
          <w:rFonts w:ascii="Times New Roman" w:hAnsi="Times New Roman"/>
          <w:sz w:val="28"/>
        </w:rPr>
        <w:t xml:space="preserve">Реконструкция узла нейтрализации и утилизации сероводорода на промышленной установке требует комплексной оценки экологического воздействия на атмосферный воздух. Сероводород (H₂S) является высокотоксичным газом с крайне низким порогом обонятельной чувствительности – 0,18 мг/м³, что позволяет обнаруживать его даже при разбавлении 1:100 000</w:t>
      </w:r>
      <w:hyperlink w:anchor="_Source_21">
        <w:r>
          <w:rPr>
            <w:rFonts w:ascii="Times New Roman" w:hAnsi="Times New Roman"/>
            <w:sz w:val="28"/>
            <w:rStyle w:val="Hyperlink"/>
          </w:rPr>
          <w:t>[21]</w:t>
        </w:r>
      </w:hyperlink>
      <w:r>
        <w:rPr>
          <w:rFonts w:ascii="Times New Roman" w:hAnsi="Times New Roman"/>
          <w:sz w:val="28"/>
        </w:rPr>
        <w:t xml:space="preserve">. Данное соединение классифицируется как маркер одорантных выбросов и представляет серьезную угрозу для окружающей среды и здоровья человека. В настоящем разделе представлены методология расчета выбросов загрязняющих веществ, количественная оценка эмиссий до и после реконструкции, а также сравнительный анализ экологической эффективности внедряемых технологических решений.</w:t>
      </w:r>
    </w:p>
    <w:p>
      <w:pPr>
        <w:pStyle w:val="Heading2"/>
        <w:spacing w:before="240" w:after="120"/>
      </w:pPr>
      <w:r>
        <w:rPr>
          <w:rFonts w:ascii="Times New Roman" w:hAnsi="Times New Roman"/>
          <w:b/>
          <w:sz w:val="28"/>
        </w:rPr>
        <w:t xml:space="preserve">Методика расчета выбросов загрязняющих веществ</w:t>
      </w:r>
    </w:p>
    <w:p>
      <w:pPr>
        <w:jc w:val="both"/>
        <w:ind w:firstLine="708"/>
        <w:spacing w:line="360" w:lineRule="auto"/>
      </w:pPr>
      <w:r>
        <w:rPr>
          <w:rFonts w:ascii="Times New Roman" w:hAnsi="Times New Roman"/>
          <w:sz w:val="28"/>
        </w:rPr>
        <w:t xml:space="preserve">Расчет выбросов загрязняющих веществ в атмосферу осуществляется в соответствии с действующими нормативными документами и методическими указаниями. Основой для определения количественных характеристик эмиссий служат материальные балансы технологических процессов, данные о составе перерабатываемого сырья и продуктов реакции, а также параметры работы газоочистного оборудования.</w:t>
      </w:r>
    </w:p>
    <w:p>
      <w:pPr>
        <w:jc w:val="both"/>
        <w:ind w:firstLine="708"/>
        <w:spacing w:line="360" w:lineRule="auto"/>
      </w:pPr>
      <w:r>
        <w:rPr>
          <w:rFonts w:ascii="Times New Roman" w:hAnsi="Times New Roman"/>
          <w:sz w:val="28"/>
        </w:rPr>
        <w:t xml:space="preserve">Для расчета валовых выбросов загрязняющих веществ применяется балансовый метод, основанный на законе сохранения массы. Общая формула расчета массового выброса имеет вид:</w:t>
      </w:r>
    </w:p>
    <w:p>
      <w:pPr>
        <w:jc w:val="both"/>
        <w:ind w:firstLine="708"/>
        <w:spacing w:line="360" w:lineRule="auto"/>
      </w:pPr>
      <w:r>
        <w:rPr>
          <w:rFonts w:ascii="Times New Roman" w:hAnsi="Times New Roman"/>
          <w:sz w:val="28"/>
        </w:rPr>
        <w:t xml:space="preserve">M = Q × C × t × 10⁻⁶</w:t>
      </w:r>
    </w:p>
    <w:p>
      <w:pPr>
        <w:jc w:val="both"/>
        <w:ind w:firstLine="708"/>
        <w:spacing w:line="360" w:lineRule="auto"/>
      </w:pPr>
      <w:r>
        <w:rPr>
          <w:rFonts w:ascii="Times New Roman" w:hAnsi="Times New Roman"/>
          <w:sz w:val="28"/>
        </w:rPr>
        <w:t xml:space="preserve">где M – масса выброса загрязняющего вещества, т/год; Q – объемный расход газовоздушной смеси, м³/ч; C – концентрация загрязняющего вещества в выбросе, мг/м³; t – время работы источника выброса, ч/год; 10⁻⁶ – коэффициент перевода из мг в тонны.</w:t>
      </w:r>
    </w:p>
    <w:p>
      <w:pPr>
        <w:jc w:val="both"/>
        <w:ind w:firstLine="708"/>
        <w:spacing w:line="360" w:lineRule="auto"/>
      </w:pPr>
      <w:r>
        <w:rPr>
          <w:rFonts w:ascii="Times New Roman" w:hAnsi="Times New Roman"/>
          <w:sz w:val="28"/>
        </w:rPr>
        <w:t xml:space="preserve">Для источников с периодическим режимом работы применяется формула:</w:t>
      </w:r>
    </w:p>
    <w:p>
      <w:pPr>
        <w:jc w:val="both"/>
        <w:ind w:firstLine="708"/>
        <w:spacing w:line="360" w:lineRule="auto"/>
      </w:pPr>
      <w:r>
        <w:rPr>
          <w:rFonts w:ascii="Times New Roman" w:hAnsi="Times New Roman"/>
          <w:sz w:val="28"/>
        </w:rPr>
        <w:t xml:space="preserve">M = Σ(Qᵢ × Cᵢ × tᵢ) × 10⁻⁶</w:t>
      </w:r>
    </w:p>
    <w:p>
      <w:pPr>
        <w:jc w:val="both"/>
        <w:ind w:firstLine="708"/>
        <w:spacing w:line="360" w:lineRule="auto"/>
      </w:pPr>
      <w:r>
        <w:rPr>
          <w:rFonts w:ascii="Times New Roman" w:hAnsi="Times New Roman"/>
          <w:sz w:val="28"/>
        </w:rPr>
        <w:t xml:space="preserve">где i – номер периода работы с различными параметрами выброса.</w:t>
      </w:r>
    </w:p>
    <w:p>
      <w:pPr>
        <w:jc w:val="both"/>
        <w:ind w:firstLine="708"/>
        <w:spacing w:line="360" w:lineRule="auto"/>
      </w:pPr>
      <w:r>
        <w:rPr>
          <w:rFonts w:ascii="Times New Roman" w:hAnsi="Times New Roman"/>
          <w:sz w:val="28"/>
        </w:rPr>
        <w:t xml:space="preserve">При расчете выбросов сероводорода учитывается его высокая токсичность и способность к окислению в атмосфере. Концентрация H₂S в выбросах определяется на основании анализа технологических газов методом газовой хроматографии или с использованием специализированных электронных сенсоров. Современные системы мониторинга позволяют обнаруживать концентрации сероводорода ниже 100 ppb (частей на миллиард), что критически важно для контроля эффективности газоочистки</w:t>
      </w:r>
      <w:hyperlink w:anchor="_Source_24">
        <w:r>
          <w:rPr>
            <w:rFonts w:ascii="Times New Roman" w:hAnsi="Times New Roman"/>
            <w:sz w:val="28"/>
            <w:rStyle w:val="Hyperlink"/>
          </w:rPr>
          <w:t>[24]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Расчет выбросов диоксида серы (SO₂) при сжигании кислых газов в печи Клауса выполняется по стехиометрическим соотношениям реакций окисления:</w:t>
      </w:r>
    </w:p>
    <w:p>
      <w:pPr>
        <w:jc w:val="both"/>
        <w:ind w:firstLine="708"/>
        <w:spacing w:line="360" w:lineRule="auto"/>
      </w:pPr>
      <w:r>
        <w:rPr>
          <w:rFonts w:ascii="Times New Roman" w:hAnsi="Times New Roman"/>
          <w:sz w:val="28"/>
        </w:rPr>
        <w:t xml:space="preserve">2H₂S + 3O₂ → 2SO₂ + 2H₂O</w:t>
      </w:r>
    </w:p>
    <w:p>
      <w:pPr>
        <w:jc w:val="both"/>
        <w:ind w:firstLine="708"/>
        <w:spacing w:line="360" w:lineRule="auto"/>
      </w:pPr>
      <w:r>
        <w:rPr>
          <w:rFonts w:ascii="Times New Roman" w:hAnsi="Times New Roman"/>
          <w:sz w:val="28"/>
        </w:rPr>
        <w:t xml:space="preserve">H₂S + 1,5O₂ → SO₂ + H₂O</w:t>
      </w:r>
    </w:p>
    <w:p>
      <w:pPr>
        <w:jc w:val="both"/>
        <w:ind w:firstLine="708"/>
        <w:spacing w:line="360" w:lineRule="auto"/>
      </w:pPr>
      <w:r>
        <w:rPr>
          <w:rFonts w:ascii="Times New Roman" w:hAnsi="Times New Roman"/>
          <w:sz w:val="28"/>
        </w:rPr>
        <w:t xml:space="preserve">Эффективность улавливания серы в процессе Клауса определяется по формуле:</w:t>
      </w:r>
    </w:p>
    <w:p>
      <w:pPr>
        <w:jc w:val="both"/>
        <w:ind w:firstLine="708"/>
        <w:spacing w:line="360" w:lineRule="auto"/>
      </w:pPr>
      <w:r>
        <w:rPr>
          <w:rFonts w:ascii="Times New Roman" w:hAnsi="Times New Roman"/>
          <w:sz w:val="28"/>
        </w:rPr>
        <w:t xml:space="preserve">η = (Sвх - Sвых) / Sвх × 100%</w:t>
      </w:r>
    </w:p>
    <w:p>
      <w:pPr>
        <w:jc w:val="both"/>
        <w:ind w:firstLine="708"/>
        <w:spacing w:line="360" w:lineRule="auto"/>
      </w:pPr>
      <w:r>
        <w:rPr>
          <w:rFonts w:ascii="Times New Roman" w:hAnsi="Times New Roman"/>
          <w:sz w:val="28"/>
        </w:rPr>
        <w:t xml:space="preserve">где Sвх – количество серы, поступающей на установку, кг/ч; Sвых – количество серы в хвостовых газах, кг/ч.</w:t>
      </w:r>
    </w:p>
    <w:p>
      <w:pPr>
        <w:jc w:val="both"/>
        <w:ind w:firstLine="708"/>
        <w:spacing w:line="360" w:lineRule="auto"/>
      </w:pPr>
      <w:r>
        <w:rPr>
          <w:rFonts w:ascii="Times New Roman" w:hAnsi="Times New Roman"/>
          <w:sz w:val="28"/>
        </w:rPr>
        <w:t xml:space="preserve">Для оценки рассеивания загрязняющих веществ в атмосфере применяются методы математического моделирования, основанные на решении уравнения турбулентной диффузии. Максимальная приземная концентрация вещества на расстоянии x от источника выброса рассчитывается с учетом метеорологических параметров, высоты источника, температуры и скорости выброса газовоздушной смеси.</w:t>
      </w:r>
    </w:p>
    <w:p>
      <w:pPr>
        <w:jc w:val="both"/>
        <w:ind w:firstLine="708"/>
        <w:spacing w:line="360" w:lineRule="auto"/>
      </w:pPr>
      <w:r>
        <w:rPr>
          <w:rFonts w:ascii="Times New Roman" w:hAnsi="Times New Roman"/>
          <w:sz w:val="28"/>
        </w:rPr>
        <w:t xml:space="preserve">Согласно Регламенту Министра окружающей среды от 26 января 2010 года, референсные значения для аммиака в атмосферном воздухе не должны превышать 400 мкг/м³ за один час и 50 мкг/м³ в среднем за календарный год</w:t>
      </w:r>
      <w:hyperlink w:anchor="_Source_21">
        <w:r>
          <w:rPr>
            <w:rFonts w:ascii="Times New Roman" w:hAnsi="Times New Roman"/>
            <w:sz w:val="28"/>
            <w:rStyle w:val="Hyperlink"/>
          </w:rPr>
          <w:t>[21]</w:t>
        </w:r>
      </w:hyperlink>
      <w:r>
        <w:rPr>
          <w:rFonts w:ascii="Times New Roman" w:hAnsi="Times New Roman"/>
          <w:sz w:val="28"/>
        </w:rPr>
        <w:t xml:space="preserve">. Эти нормативы применяются при оценке воздействия на атмосферный воздух в случае использования аминовой технологии очистки с возможными утечками абсорбента.</w:t>
      </w:r>
    </w:p>
    <w:p>
      <w:pPr>
        <w:jc w:val="both"/>
        <w:ind w:firstLine="708"/>
        <w:spacing w:line="360" w:lineRule="auto"/>
      </w:pPr>
      <w:r>
        <w:rPr>
          <w:rFonts w:ascii="Times New Roman" w:hAnsi="Times New Roman"/>
          <w:sz w:val="28"/>
        </w:rPr>
        <w:t xml:space="preserve">Для комплексной оценки одорантного воздействия применяется динамическая ольфактометрия в соответствии со стандартом EN 13725:2022. Метод позволяет определить концентрацию запаха в единицах ouE/м³ (европейская единица запаха на кубический метр) с использованием обученной группы экспертов-панелистов</w:t>
      </w:r>
      <w:hyperlink w:anchor="_Source_21">
        <w:r>
          <w:rPr>
            <w:rFonts w:ascii="Times New Roman" w:hAnsi="Times New Roman"/>
            <w:sz w:val="28"/>
            <w:rStyle w:val="Hyperlink"/>
          </w:rPr>
          <w:t>[21]</w:t>
        </w:r>
      </w:hyperlink>
      <w:r>
        <w:rPr>
          <w:rFonts w:ascii="Times New Roman" w:hAnsi="Times New Roman"/>
          <w:sz w:val="28"/>
        </w:rPr>
        <w:t xml:space="preserve">. Данный подход особенно актуален для оценки суммарного одорантного эффекта смеси газов, выбрасываемых установкой нейтрализации сероводорода.</w:t>
      </w:r>
    </w:p>
    <w:p>
      <w:pPr>
        <w:pStyle w:val="Heading2"/>
        <w:spacing w:before="240" w:after="120"/>
      </w:pPr>
      <w:r>
        <w:rPr>
          <w:rFonts w:ascii="Times New Roman" w:hAnsi="Times New Roman"/>
          <w:b/>
          <w:sz w:val="28"/>
        </w:rPr>
        <w:t xml:space="preserve">Расчет выбросов до реконструкции</w:t>
      </w:r>
    </w:p>
    <w:p>
      <w:pPr>
        <w:jc w:val="both"/>
        <w:ind w:firstLine="708"/>
        <w:spacing w:line="360" w:lineRule="auto"/>
      </w:pPr>
      <w:r>
        <w:rPr>
          <w:rFonts w:ascii="Times New Roman" w:hAnsi="Times New Roman"/>
          <w:sz w:val="28"/>
        </w:rPr>
        <w:t xml:space="preserve">Существующая система нейтрализации сероводорода на установке характеризуется определенным уровнем выбросов загрязняющих веществ в атмосферу. Для количественной оценки эмиссий проведен анализ технологического процесса и режимов работы оборудования.</w:t>
      </w:r>
    </w:p>
    <w:p>
      <w:pPr>
        <w:jc w:val="both"/>
        <w:ind w:firstLine="708"/>
        <w:spacing w:line="360" w:lineRule="auto"/>
      </w:pPr>
      <w:r>
        <w:rPr>
          <w:rFonts w:ascii="Times New Roman" w:hAnsi="Times New Roman"/>
          <w:sz w:val="28"/>
        </w:rPr>
        <w:t xml:space="preserve">Исходные данные для расчета базируются на проектных характеристиках установки и результатах инструментальных измерений:</w:t>
      </w:r>
    </w:p>
    <w:p>
      <w:pPr>
        <w:ind w:left="708" w:hanging="360"/>
        <w:spacing w:line="360"/>
      </w:pPr>
      <w:r>
        <w:rPr>
          <w:rFonts w:ascii="Times New Roman"/>
          <w:sz w:val="28"/>
        </w:rPr>
        <w:t>• </w:t>
      </w:r>
      <w:r>
        <w:rPr>
          <w:rFonts w:ascii="Times New Roman" w:hAnsi="Times New Roman"/>
          <w:sz w:val="28"/>
        </w:rPr>
        <w:t xml:space="preserve">Объем кислого газа, поступающего на нейтрализацию: 15 000 нм³/ч;</w:t>
      </w:r>
    </w:p>
    <w:p>
      <w:pPr>
        <w:ind w:left="708" w:hanging="360"/>
        <w:spacing w:line="360"/>
      </w:pPr>
      <w:r>
        <w:rPr>
          <w:rFonts w:ascii="Times New Roman"/>
          <w:sz w:val="28"/>
        </w:rPr>
        <w:t>• </w:t>
      </w:r>
      <w:r>
        <w:rPr>
          <w:rFonts w:ascii="Times New Roman" w:hAnsi="Times New Roman"/>
          <w:sz w:val="28"/>
        </w:rPr>
        <w:t xml:space="preserve">Концентрация H₂S в кислом газе: 85% об.;</w:t>
      </w:r>
    </w:p>
    <w:p>
      <w:pPr>
        <w:ind w:left="708" w:hanging="360"/>
        <w:spacing w:line="360"/>
      </w:pPr>
      <w:r>
        <w:rPr>
          <w:rFonts w:ascii="Times New Roman"/>
          <w:sz w:val="28"/>
        </w:rPr>
        <w:t>• </w:t>
      </w:r>
      <w:r>
        <w:rPr>
          <w:rFonts w:ascii="Times New Roman" w:hAnsi="Times New Roman"/>
          <w:sz w:val="28"/>
        </w:rPr>
        <w:t xml:space="preserve">Концентрация CO₂ в кислом газе: 12% об.;</w:t>
      </w:r>
    </w:p>
    <w:p>
      <w:pPr>
        <w:ind w:left="708" w:hanging="360"/>
        <w:spacing w:line="360"/>
      </w:pPr>
      <w:r>
        <w:rPr>
          <w:rFonts w:ascii="Times New Roman"/>
          <w:sz w:val="28"/>
        </w:rPr>
        <w:t>• </w:t>
      </w:r>
      <w:r>
        <w:rPr>
          <w:rFonts w:ascii="Times New Roman" w:hAnsi="Times New Roman"/>
          <w:sz w:val="28"/>
        </w:rPr>
        <w:t xml:space="preserve">Режим работы установки: непрерывный, 8 400 ч/год;</w:t>
      </w:r>
    </w:p>
    <w:p>
      <w:pPr>
        <w:ind w:left="708" w:hanging="360"/>
        <w:spacing w:line="360"/>
      </w:pPr>
      <w:r>
        <w:rPr>
          <w:rFonts w:ascii="Times New Roman"/>
          <w:sz w:val="28"/>
        </w:rPr>
        <w:t>• </w:t>
      </w:r>
      <w:r>
        <w:rPr>
          <w:rFonts w:ascii="Times New Roman" w:hAnsi="Times New Roman"/>
          <w:sz w:val="28"/>
        </w:rPr>
        <w:t xml:space="preserve">Эффективность существующей системы очистки: 96,5%.</w:t>
      </w:r>
    </w:p>
    <w:p>
      <w:pPr>
        <w:jc w:val="both"/>
        <w:ind w:firstLine="708"/>
        <w:spacing w:line="360" w:lineRule="auto"/>
      </w:pPr>
      <w:r>
        <w:rPr>
          <w:rFonts w:ascii="Times New Roman" w:hAnsi="Times New Roman"/>
          <w:sz w:val="28"/>
        </w:rPr>
        <w:t xml:space="preserve">Валовый выброс сероводорода до реконструкции рассчитывается исходя из неполной эффективности существующей системы газоочистки. При концентрации H₂S в хвостовых газах 2 975 мг/м³ (что соответствует 3,5% от исходного содержания) и объемном расходе 15 000 м³/ч массовый выброс составляет:</w:t>
      </w:r>
    </w:p>
    <w:p>
      <w:pPr>
        <w:jc w:val="both"/>
        <w:ind w:firstLine="708"/>
        <w:spacing w:line="360" w:lineRule="auto"/>
      </w:pPr>
      <w:r>
        <w:rPr>
          <w:rFonts w:ascii="Times New Roman" w:hAnsi="Times New Roman"/>
          <w:sz w:val="28"/>
        </w:rPr>
        <w:t xml:space="preserve">M(H₂S) = 15 000 × 2 975 × 8 400 × 10⁻⁶ = 375,1 т/год</w:t>
      </w:r>
    </w:p>
    <w:p>
      <w:pPr>
        <w:jc w:val="both"/>
        <w:ind w:firstLine="708"/>
        <w:spacing w:line="360" w:lineRule="auto"/>
      </w:pPr>
      <w:r>
        <w:rPr>
          <w:rFonts w:ascii="Times New Roman" w:hAnsi="Times New Roman"/>
          <w:sz w:val="28"/>
        </w:rPr>
        <w:t xml:space="preserve">Выброс диоксида серы формируется в результате частичного окисления сероводорода в факельной системе и при неполном протекании реакции Клауса. Расчетная концентрация SO₂ в выбросе составляет 1 850 мг/м³, что дает годовой выброс:</w:t>
      </w:r>
    </w:p>
    <w:p>
      <w:pPr>
        <w:jc w:val="both"/>
        <w:ind w:firstLine="708"/>
        <w:spacing w:line="360" w:lineRule="auto"/>
      </w:pPr>
      <w:r>
        <w:rPr>
          <w:rFonts w:ascii="Times New Roman" w:hAnsi="Times New Roman"/>
          <w:sz w:val="28"/>
        </w:rPr>
        <w:t xml:space="preserve">M(SO₂) = 15 000 × 1 850 × 8 400 × 10⁻⁶ = 233,1 т/год</w:t>
      </w:r>
    </w:p>
    <w:p>
      <w:pPr>
        <w:jc w:val="both"/>
        <w:ind w:firstLine="708"/>
        <w:spacing w:line="360" w:lineRule="auto"/>
      </w:pPr>
      <w:r>
        <w:rPr>
          <w:rFonts w:ascii="Times New Roman" w:hAnsi="Times New Roman"/>
          <w:sz w:val="28"/>
        </w:rPr>
        <w:t xml:space="preserve">Дополнительным источником загрязнения атмосферы являются оксиды азота (NOₓ), образующиеся при высокотемпературном сжигании кислых газов в печи Клауса. При температуре процесса 1 050°C и избытке кислорода концентрация NOₓ достигает 420 мг/м³:</w:t>
      </w:r>
    </w:p>
    <w:p>
      <w:pPr>
        <w:jc w:val="both"/>
        <w:ind w:firstLine="708"/>
        <w:spacing w:line="360" w:lineRule="auto"/>
      </w:pPr>
      <w:r>
        <w:rPr>
          <w:rFonts w:ascii="Times New Roman" w:hAnsi="Times New Roman"/>
          <w:sz w:val="28"/>
        </w:rPr>
        <w:t xml:space="preserve">M(NOₓ) = 15 000 × 420 × 8 400 × 10⁻⁶ = 52,9 т/год</w:t>
      </w:r>
    </w:p>
    <w:p>
      <w:pPr>
        <w:jc w:val="both"/>
        <w:ind w:firstLine="708"/>
        <w:spacing w:line="360" w:lineRule="auto"/>
      </w:pPr>
      <w:r>
        <w:rPr>
          <w:rFonts w:ascii="Times New Roman" w:hAnsi="Times New Roman"/>
          <w:sz w:val="28"/>
        </w:rPr>
        <w:t xml:space="preserve">Выбросы твердых частиц (сажи и аэрозолей серы) при существующей схеме составляют:</w:t>
      </w:r>
    </w:p>
    <w:p>
      <w:pPr>
        <w:jc w:val="both"/>
        <w:ind w:firstLine="708"/>
        <w:spacing w:line="360" w:lineRule="auto"/>
      </w:pPr>
      <w:r>
        <w:rPr>
          <w:rFonts w:ascii="Times New Roman" w:hAnsi="Times New Roman"/>
          <w:sz w:val="28"/>
        </w:rPr>
        <w:t xml:space="preserve">M(ТЧ) = 15 000 × 85 × 8 400 × 10⁻⁶ = 10,7 т/год</w:t>
      </w:r>
    </w:p>
    <w:p>
      <w:pPr>
        <w:jc w:val="both"/>
        <w:ind w:firstLine="708"/>
        <w:spacing w:line="360" w:lineRule="auto"/>
      </w:pPr>
      <w:r>
        <w:rPr>
          <w:rFonts w:ascii="Times New Roman" w:hAnsi="Times New Roman"/>
          <w:sz w:val="28"/>
        </w:rPr>
        <w:t xml:space="preserve">Суммарный валовый выброс загрязняющих веществ до реконструкции составляет 671,8 т/год. Данные выбросы создают значительную одорантную нагрузку на прилегающие территории, поскольку сероводород обнаруживается органолептически даже при крайне низких концентрациях</w:t>
      </w:r>
      <w:hyperlink w:anchor="_Source_21">
        <w:r>
          <w:rPr>
            <w:rFonts w:ascii="Times New Roman" w:hAnsi="Times New Roman"/>
            <w:sz w:val="28"/>
            <w:rStyle w:val="Hyperlink"/>
          </w:rPr>
          <w:t>[21]</w:t>
        </w:r>
      </w:hyperlink>
      <w:r>
        <w:rPr>
          <w:rFonts w:ascii="Times New Roman" w:hAnsi="Times New Roman"/>
          <w:sz w:val="28"/>
        </w:rPr>
        <w:t xml:space="preserve">.</w:t>
      </w:r>
    </w:p>
    <w:p>
      <w:pPr>
        <w:jc w:val="center"/>
        <w:spacing w:after="120"/>
      </w:pPr>
      <w:r>
        <w:rPr>
          <w:rFonts w:ascii="Times New Roman" w:hAnsi="Times New Roman"/>
          <w:sz w:val="24"/>
          <w:b/>
        </w:rPr>
        <w:t>Таблица 10. Выбросы загрязняющих веществ до реконструкции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Загрязняющее вещество</w:t>
            </w:r>
          </w:p>
        </w:tc>
        <w:tc>
          <w:tcPr>
            <w:vAlign w:val="center"/>
          </w:tcPr>
          <w:p>
            <w:pPr>
              <w:jc w:val="center"/>
            </w:pPr>
            <w:r>
              <w:rPr>
                <w:rFonts w:ascii="Times New Roman"/>
                <w:sz w:val="24"/>
                <w:b/>
              </w:rPr>
              <w:t>Концентрация, мг/м³</w:t>
            </w:r>
          </w:p>
        </w:tc>
        <w:tc>
          <w:tcPr>
            <w:vAlign w:val="center"/>
          </w:tcPr>
          <w:p>
            <w:pPr>
              <w:jc w:val="center"/>
            </w:pPr>
            <w:r>
              <w:rPr>
                <w:rFonts w:ascii="Times New Roman"/>
                <w:sz w:val="24"/>
                <w:b/>
              </w:rPr>
              <w:t>Валовый выброс, т/год</w:t>
            </w:r>
          </w:p>
        </w:tc>
        <w:tc>
          <w:tcPr>
            <w:vAlign w:val="center"/>
          </w:tcPr>
          <w:p>
            <w:pPr>
              <w:jc w:val="center"/>
            </w:pPr>
            <w:r>
              <w:rPr>
                <w:rFonts w:ascii="Times New Roman"/>
                <w:sz w:val="24"/>
                <w:b/>
              </w:rPr>
              <w:t>Доля в общем выбросе, %</w:t>
            </w:r>
          </w:p>
        </w:tc>
      </w:tr>
      <w:tr>
        <w:tc>
          <w:tcPr>
            <w:vAlign w:val="center"/>
          </w:tcPr>
          <w:p>
            <w:pPr>
              <w:jc w:val="center"/>
            </w:pPr>
            <w:r>
              <w:rPr>
                <w:rFonts w:ascii="Times New Roman"/>
                <w:sz w:val="24"/>
              </w:rPr>
              <w:t>Сероводород (H₂S)</w:t>
            </w:r>
          </w:p>
        </w:tc>
        <w:tc>
          <w:tcPr>
            <w:vAlign w:val="center"/>
          </w:tcPr>
          <w:p>
            <w:pPr>
              <w:jc w:val="center"/>
            </w:pPr>
            <w:r>
              <w:rPr>
                <w:rFonts w:ascii="Times New Roman"/>
                <w:sz w:val="24"/>
              </w:rPr>
              <w:t>2 975</w:t>
            </w:r>
          </w:p>
        </w:tc>
        <w:tc>
          <w:tcPr>
            <w:vAlign w:val="center"/>
          </w:tcPr>
          <w:p>
            <w:pPr>
              <w:jc w:val="center"/>
            </w:pPr>
            <w:r>
              <w:rPr>
                <w:rFonts w:ascii="Times New Roman"/>
                <w:sz w:val="24"/>
              </w:rPr>
              <w:t>375,1</w:t>
            </w:r>
          </w:p>
        </w:tc>
        <w:tc>
          <w:tcPr>
            <w:vAlign w:val="center"/>
          </w:tcPr>
          <w:p>
            <w:pPr>
              <w:jc w:val="center"/>
            </w:pPr>
            <w:r>
              <w:rPr>
                <w:rFonts w:ascii="Times New Roman"/>
                <w:sz w:val="24"/>
              </w:rPr>
              <w:t>55,8</w:t>
            </w:r>
          </w:p>
        </w:tc>
      </w:tr>
      <w:tr>
        <w:tc>
          <w:tcPr>
            <w:vAlign w:val="center"/>
          </w:tcPr>
          <w:p>
            <w:pPr>
              <w:jc w:val="center"/>
            </w:pPr>
            <w:r>
              <w:rPr>
                <w:rFonts w:ascii="Times New Roman"/>
                <w:sz w:val="24"/>
              </w:rPr>
              <w:t>Диоксид серы (SO₂)</w:t>
            </w:r>
          </w:p>
        </w:tc>
        <w:tc>
          <w:tcPr>
            <w:vAlign w:val="center"/>
          </w:tcPr>
          <w:p>
            <w:pPr>
              <w:jc w:val="center"/>
            </w:pPr>
            <w:r>
              <w:rPr>
                <w:rFonts w:ascii="Times New Roman"/>
                <w:sz w:val="24"/>
              </w:rPr>
              <w:t>1 850</w:t>
            </w:r>
          </w:p>
        </w:tc>
        <w:tc>
          <w:tcPr>
            <w:vAlign w:val="center"/>
          </w:tcPr>
          <w:p>
            <w:pPr>
              <w:jc w:val="center"/>
            </w:pPr>
            <w:r>
              <w:rPr>
                <w:rFonts w:ascii="Times New Roman"/>
                <w:sz w:val="24"/>
              </w:rPr>
              <w:t>233,1</w:t>
            </w:r>
          </w:p>
        </w:tc>
        <w:tc>
          <w:tcPr>
            <w:vAlign w:val="center"/>
          </w:tcPr>
          <w:p>
            <w:pPr>
              <w:jc w:val="center"/>
            </w:pPr>
            <w:r>
              <w:rPr>
                <w:rFonts w:ascii="Times New Roman"/>
                <w:sz w:val="24"/>
              </w:rPr>
              <w:t>34,7</w:t>
            </w:r>
          </w:p>
        </w:tc>
      </w:tr>
      <w:tr>
        <w:tc>
          <w:tcPr>
            <w:vAlign w:val="center"/>
          </w:tcPr>
          <w:p>
            <w:pPr>
              <w:jc w:val="center"/>
            </w:pPr>
            <w:r>
              <w:rPr>
                <w:rFonts w:ascii="Times New Roman"/>
                <w:sz w:val="24"/>
              </w:rPr>
              <w:t>Оксиды азота (NOₓ)</w:t>
            </w:r>
          </w:p>
        </w:tc>
        <w:tc>
          <w:tcPr>
            <w:vAlign w:val="center"/>
          </w:tcPr>
          <w:p>
            <w:pPr>
              <w:jc w:val="center"/>
            </w:pPr>
            <w:r>
              <w:rPr>
                <w:rFonts w:ascii="Times New Roman"/>
                <w:sz w:val="24"/>
              </w:rPr>
              <w:t>420</w:t>
            </w:r>
          </w:p>
        </w:tc>
        <w:tc>
          <w:tcPr>
            <w:vAlign w:val="center"/>
          </w:tcPr>
          <w:p>
            <w:pPr>
              <w:jc w:val="center"/>
            </w:pPr>
            <w:r>
              <w:rPr>
                <w:rFonts w:ascii="Times New Roman"/>
                <w:sz w:val="24"/>
              </w:rPr>
              <w:t>52,9</w:t>
            </w:r>
          </w:p>
        </w:tc>
        <w:tc>
          <w:tcPr>
            <w:vAlign w:val="center"/>
          </w:tcPr>
          <w:p>
            <w:pPr>
              <w:jc w:val="center"/>
            </w:pPr>
            <w:r>
              <w:rPr>
                <w:rFonts w:ascii="Times New Roman"/>
                <w:sz w:val="24"/>
              </w:rPr>
              <w:t>7,9</w:t>
            </w:r>
          </w:p>
        </w:tc>
      </w:tr>
      <w:tr>
        <w:tc>
          <w:tcPr>
            <w:vAlign w:val="center"/>
          </w:tcPr>
          <w:p>
            <w:pPr>
              <w:jc w:val="center"/>
            </w:pPr>
            <w:r>
              <w:rPr>
                <w:rFonts w:ascii="Times New Roman"/>
                <w:sz w:val="24"/>
              </w:rPr>
              <w:t>Твердые частицы</w:t>
            </w:r>
          </w:p>
        </w:tc>
        <w:tc>
          <w:tcPr>
            <w:vAlign w:val="center"/>
          </w:tcPr>
          <w:p>
            <w:pPr>
              <w:jc w:val="center"/>
            </w:pPr>
            <w:r>
              <w:rPr>
                <w:rFonts w:ascii="Times New Roman"/>
                <w:sz w:val="24"/>
              </w:rPr>
              <w:t>85</w:t>
            </w:r>
          </w:p>
        </w:tc>
        <w:tc>
          <w:tcPr>
            <w:vAlign w:val="center"/>
          </w:tcPr>
          <w:p>
            <w:pPr>
              <w:jc w:val="center"/>
            </w:pPr>
            <w:r>
              <w:rPr>
                <w:rFonts w:ascii="Times New Roman"/>
                <w:sz w:val="24"/>
              </w:rPr>
              <w:t>10,7</w:t>
            </w:r>
          </w:p>
        </w:tc>
        <w:tc>
          <w:tcPr>
            <w:vAlign w:val="center"/>
          </w:tcPr>
          <w:p>
            <w:pPr>
              <w:jc w:val="center"/>
            </w:pPr>
            <w:r>
              <w:rPr>
                <w:rFonts w:ascii="Times New Roman"/>
                <w:sz w:val="24"/>
              </w:rPr>
              <w:t>1,6</w:t>
            </w:r>
          </w:p>
        </w:tc>
      </w:tr>
      <w:tr>
        <w:tc>
          <w:tcPr>
            <w:vAlign w:val="center"/>
          </w:tcPr>
          <w:p>
            <w:pPr>
              <w:jc w:val="center"/>
            </w:pPr>
            <w:r>
              <w:rPr>
                <w:rFonts w:ascii="Times New Roman"/>
                <w:sz w:val="24"/>
              </w:rPr>
              <w:t>Всего</w:t>
            </w:r>
          </w:p>
        </w:tc>
        <w:tc>
          <w:tcPr>
            <w:vAlign w:val="center"/>
          </w:tcPr>
          <w:p>
            <w:pPr>
              <w:jc w:val="center"/>
            </w:pPr>
            <w:r>
              <w:rPr>
                <w:rFonts w:ascii="Times New Roman"/>
                <w:sz w:val="24"/>
              </w:rPr>
              <w:t>—</w:t>
            </w:r>
          </w:p>
        </w:tc>
        <w:tc>
          <w:tcPr>
            <w:vAlign w:val="center"/>
          </w:tcPr>
          <w:p>
            <w:pPr>
              <w:jc w:val="center"/>
            </w:pPr>
            <w:r>
              <w:rPr>
                <w:rFonts w:ascii="Times New Roman"/>
                <w:sz w:val="24"/>
              </w:rPr>
              <w:t>671,8</w:t>
            </w:r>
          </w:p>
        </w:tc>
        <w:tc>
          <w:tcPr>
            <w:vAlign w:val="center"/>
          </w:tcPr>
          <w:p>
            <w:pPr>
              <w:jc w:val="center"/>
            </w:pPr>
            <w:r>
              <w:rPr>
                <w:rFonts w:ascii="Times New Roman"/>
                <w:sz w:val="24"/>
              </w:rPr>
              <w:t>100,0</w:t>
            </w:r>
          </w:p>
        </w:tc>
      </w:tr>
    </w:tbl>
    <w:p>
      <w:r>
        <w:t/>
      </w:r>
    </w:p>
    <w:p>
      <w:pPr>
        <w:jc w:val="both"/>
        <w:ind w:firstLine="708"/>
        <w:spacing w:line="360" w:lineRule="auto"/>
      </w:pPr>
      <w:r>
        <w:rPr>
          <w:rFonts w:ascii="Times New Roman" w:hAnsi="Times New Roman"/>
          <w:sz w:val="28"/>
        </w:rPr>
        <w:t xml:space="preserve">Оценка воздействия на атмосферный воздух показывает, что при существующей системе очистки максимальная приземная концентрация сероводорода на границе санитарно-защитной зоны составляет 0,024 мг/м³, что превышает предельно допустимую концентрацию (ПДК) для атмосферного воздуха населенных мест в 2,4 раза. Это создает условия для возникновения жалоб населения на одорантное загрязнение, которое является одной из основных причин обращений в природоохранные органы</w:t>
      </w:r>
      <w:hyperlink w:anchor="_Source_21">
        <w:r>
          <w:rPr>
            <w:rFonts w:ascii="Times New Roman" w:hAnsi="Times New Roman"/>
            <w:sz w:val="28"/>
            <w:rStyle w:val="Hyperlink"/>
          </w:rPr>
          <w:t>[21]</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Расчет выбросов после реконструкции</w:t>
      </w:r>
    </w:p>
    <w:p>
      <w:pPr>
        <w:jc w:val="both"/>
        <w:ind w:firstLine="708"/>
        <w:spacing w:line="360" w:lineRule="auto"/>
      </w:pPr>
      <w:r>
        <w:rPr>
          <w:rFonts w:ascii="Times New Roman" w:hAnsi="Times New Roman"/>
          <w:sz w:val="28"/>
        </w:rPr>
        <w:t xml:space="preserve">Реконструкция узла нейтрализации сероводорода предусматривает внедрение современной трехступенчатой системы очистки, включающей процесс Клауса, блок SCOT (Super Claus Oxygen Tail gas treatment) и аминовую доочистку хвостовых газов. Данная комбинированная схема обеспечивает максимальную степень улавливания серосодержащих соединений.</w:t>
      </w:r>
    </w:p>
    <w:p>
      <w:pPr>
        <w:jc w:val="both"/>
        <w:ind w:firstLine="708"/>
        <w:spacing w:line="360" w:lineRule="auto"/>
      </w:pPr>
      <w:r>
        <w:rPr>
          <w:rFonts w:ascii="Times New Roman" w:hAnsi="Times New Roman"/>
          <w:sz w:val="28"/>
        </w:rPr>
        <w:t xml:space="preserve">Технологическая схема после реконструкции предполагает следующие стадии:</w:t>
      </w:r>
    </w:p>
    <w:p>
      <w:pPr>
        <w:ind w:left="708" w:hanging="360"/>
        <w:spacing w:line="360"/>
      </w:pPr>
      <w:r>
        <w:rPr>
          <w:rFonts w:ascii="Times New Roman"/>
          <w:sz w:val="28"/>
        </w:rPr>
        <w:t>• </w:t>
      </w:r>
      <w:r>
        <w:rPr>
          <w:rFonts w:ascii="Times New Roman" w:hAnsi="Times New Roman"/>
          <w:sz w:val="28"/>
        </w:rPr>
        <w:t xml:space="preserve">Первая ступень: термическая секция Клауса с эффективностью 65%;</w:t>
      </w:r>
    </w:p>
    <w:p>
      <w:pPr>
        <w:ind w:left="708" w:hanging="360"/>
        <w:spacing w:line="360"/>
      </w:pPr>
      <w:r>
        <w:rPr>
          <w:rFonts w:ascii="Times New Roman"/>
          <w:sz w:val="28"/>
        </w:rPr>
        <w:t>• </w:t>
      </w:r>
      <w:r>
        <w:rPr>
          <w:rFonts w:ascii="Times New Roman" w:hAnsi="Times New Roman"/>
          <w:sz w:val="28"/>
        </w:rPr>
        <w:t xml:space="preserve">Вторая ступень: каталитическая секция Клауса с эффективностью 30% от остаточной серы;</w:t>
      </w:r>
    </w:p>
    <w:p>
      <w:pPr>
        <w:ind w:left="708" w:hanging="360"/>
        <w:spacing w:line="360"/>
      </w:pPr>
      <w:r>
        <w:rPr>
          <w:rFonts w:ascii="Times New Roman"/>
          <w:sz w:val="28"/>
        </w:rPr>
        <w:t>• </w:t>
      </w:r>
      <w:r>
        <w:rPr>
          <w:rFonts w:ascii="Times New Roman" w:hAnsi="Times New Roman"/>
          <w:sz w:val="28"/>
        </w:rPr>
        <w:t xml:space="preserve">Третья ступень: блок SCOT с гидрированием и селективным окислением, эффективность 95%;</w:t>
      </w:r>
    </w:p>
    <w:p>
      <w:pPr>
        <w:ind w:left="708" w:hanging="360"/>
        <w:spacing w:line="360"/>
      </w:pPr>
      <w:r>
        <w:rPr>
          <w:rFonts w:ascii="Times New Roman"/>
          <w:sz w:val="28"/>
        </w:rPr>
        <w:t>• </w:t>
      </w:r>
      <w:r>
        <w:rPr>
          <w:rFonts w:ascii="Times New Roman" w:hAnsi="Times New Roman"/>
          <w:sz w:val="28"/>
        </w:rPr>
        <w:t xml:space="preserve">Четвертая ступень: аминовая абсорбция остаточного H₂S, эффективность 99,5%.</w:t>
      </w:r>
    </w:p>
    <w:p>
      <w:pPr>
        <w:jc w:val="both"/>
        <w:ind w:firstLine="708"/>
        <w:spacing w:line="360" w:lineRule="auto"/>
      </w:pPr>
      <w:r>
        <w:rPr>
          <w:rFonts w:ascii="Times New Roman" w:hAnsi="Times New Roman"/>
          <w:sz w:val="28"/>
        </w:rPr>
        <w:t xml:space="preserve">Общая эффективность системы после реконструкции составляет:</w:t>
      </w:r>
    </w:p>
    <w:p>
      <w:pPr>
        <w:jc w:val="both"/>
        <w:ind w:firstLine="708"/>
        <w:spacing w:line="360" w:lineRule="auto"/>
      </w:pPr>
      <w:r>
        <w:rPr>
          <w:rFonts w:ascii="Times New Roman" w:hAnsi="Times New Roman"/>
          <w:sz w:val="28"/>
        </w:rPr>
        <w:t xml:space="preserve">η(общ) = 1 - (1 - 0,65) × (1 - 0,30) × (1 - 0,95) × (1 - 0,995) = 99,988%</w:t>
      </w:r>
    </w:p>
    <w:p>
      <w:pPr>
        <w:jc w:val="both"/>
        <w:ind w:firstLine="708"/>
        <w:spacing w:line="360" w:lineRule="auto"/>
      </w:pPr>
      <w:r>
        <w:rPr>
          <w:rFonts w:ascii="Times New Roman" w:hAnsi="Times New Roman"/>
          <w:sz w:val="28"/>
        </w:rPr>
        <w:t xml:space="preserve">При такой степени очистки концентрация сероводорода в хвостовых газах снижается до 1,8 мг/м³, что обеспечивает валовый выброс:</w:t>
      </w:r>
    </w:p>
    <w:p>
      <w:pPr>
        <w:jc w:val="both"/>
        <w:ind w:firstLine="708"/>
        <w:spacing w:line="360" w:lineRule="auto"/>
      </w:pPr>
      <w:r>
        <w:rPr>
          <w:rFonts w:ascii="Times New Roman" w:hAnsi="Times New Roman"/>
          <w:sz w:val="28"/>
        </w:rPr>
        <w:t xml:space="preserve">M(H₂S) = 15 000 × 1,8 × 8 400 × 10⁻⁶ = 0,227 т/год</w:t>
      </w:r>
    </w:p>
    <w:p>
      <w:pPr>
        <w:jc w:val="both"/>
        <w:ind w:firstLine="708"/>
        <w:spacing w:line="360" w:lineRule="auto"/>
      </w:pPr>
      <w:r>
        <w:rPr>
          <w:rFonts w:ascii="Times New Roman" w:hAnsi="Times New Roman"/>
          <w:sz w:val="28"/>
        </w:rPr>
        <w:t xml:space="preserve">Применение низкотемпературного каталитического окисления в блоке SCOT позволяет минимизировать образование оксидов азота. Концентрация NOₓ снижается до 45 мг/м³:</w:t>
      </w:r>
    </w:p>
    <w:p>
      <w:pPr>
        <w:jc w:val="both"/>
        <w:ind w:firstLine="708"/>
        <w:spacing w:line="360" w:lineRule="auto"/>
      </w:pPr>
      <w:r>
        <w:rPr>
          <w:rFonts w:ascii="Times New Roman" w:hAnsi="Times New Roman"/>
          <w:sz w:val="28"/>
        </w:rPr>
        <w:t xml:space="preserve">M(NOₓ) = 15 000 × 45 × 8 400 × 10⁻⁶ = 5,67 т/год</w:t>
      </w:r>
    </w:p>
    <w:p>
      <w:pPr>
        <w:jc w:val="both"/>
        <w:ind w:firstLine="708"/>
        <w:spacing w:line="360" w:lineRule="auto"/>
      </w:pPr>
      <w:r>
        <w:rPr>
          <w:rFonts w:ascii="Times New Roman" w:hAnsi="Times New Roman"/>
          <w:sz w:val="28"/>
        </w:rPr>
        <w:t xml:space="preserve">Выброс диоксида серы после реконструкции формируется преимущественно в результате селективного окисления остаточных серосодержащих соединений. Концентрация SO₂ составляет 120 мг/м³:</w:t>
      </w:r>
    </w:p>
    <w:p>
      <w:pPr>
        <w:jc w:val="both"/>
        <w:ind w:firstLine="708"/>
        <w:spacing w:line="360" w:lineRule="auto"/>
      </w:pPr>
      <w:r>
        <w:rPr>
          <w:rFonts w:ascii="Times New Roman" w:hAnsi="Times New Roman"/>
          <w:sz w:val="28"/>
        </w:rPr>
        <w:t xml:space="preserve">M(SO₂) = 15 000 × 120 × 8 400 × 10⁻⁶ = 15,12 т/год</w:t>
      </w:r>
    </w:p>
    <w:p>
      <w:pPr>
        <w:jc w:val="both"/>
        <w:ind w:firstLine="708"/>
        <w:spacing w:line="360" w:lineRule="auto"/>
      </w:pPr>
      <w:r>
        <w:rPr>
          <w:rFonts w:ascii="Times New Roman" w:hAnsi="Times New Roman"/>
          <w:sz w:val="28"/>
        </w:rPr>
        <w:t xml:space="preserve">Внедрение эффективной системы пылеулавливания снижает выброс твердых частиц до 8 мг/м³:</w:t>
      </w:r>
    </w:p>
    <w:p>
      <w:pPr>
        <w:jc w:val="both"/>
        <w:ind w:firstLine="708"/>
        <w:spacing w:line="360" w:lineRule="auto"/>
      </w:pPr>
      <w:r>
        <w:rPr>
          <w:rFonts w:ascii="Times New Roman" w:hAnsi="Times New Roman"/>
          <w:sz w:val="28"/>
        </w:rPr>
        <w:t xml:space="preserve">M(ТЧ) = 15 000 × 8 × 8 400 × 10⁻⁶ = 1,01 т/год</w:t>
      </w:r>
    </w:p>
    <w:p>
      <w:pPr>
        <w:jc w:val="both"/>
        <w:ind w:firstLine="708"/>
        <w:spacing w:line="360" w:lineRule="auto"/>
      </w:pPr>
      <w:r>
        <w:rPr>
          <w:rFonts w:ascii="Times New Roman" w:hAnsi="Times New Roman"/>
          <w:sz w:val="28"/>
        </w:rPr>
        <w:t xml:space="preserve">Дополнительным источником выбросов после реконструкции становится аминовый абсорбент (метилдиэтаноламин – MDEA), испаряющийся из системы регенерации. Однако концентрация аминов в выбросе не превышает 2 мг/м³, что обеспечивает валовый выброс:</w:t>
      </w:r>
    </w:p>
    <w:p>
      <w:pPr>
        <w:jc w:val="both"/>
        <w:ind w:firstLine="708"/>
        <w:spacing w:line="360" w:lineRule="auto"/>
      </w:pPr>
      <w:r>
        <w:rPr>
          <w:rFonts w:ascii="Times New Roman" w:hAnsi="Times New Roman"/>
          <w:sz w:val="28"/>
        </w:rPr>
        <w:t xml:space="preserve">M(MDEA) = 15 000 × 2 × 8 400 × 10⁻⁶ = 0,252 т/год</w:t>
      </w:r>
    </w:p>
    <w:p>
      <w:pPr>
        <w:jc w:val="both"/>
        <w:ind w:firstLine="708"/>
        <w:spacing w:line="360" w:lineRule="auto"/>
      </w:pPr>
      <w:r>
        <w:rPr>
          <w:rFonts w:ascii="Times New Roman" w:hAnsi="Times New Roman"/>
          <w:sz w:val="28"/>
        </w:rPr>
        <w:t xml:space="preserve">Суммарный валовый выброс загрязняющих веществ после реконструкции составляет 22,28 т/год, что в 30,2 раза меньше исходного уровня.</w:t>
      </w:r>
    </w:p>
    <w:p>
      <w:pPr>
        <w:jc w:val="center"/>
        <w:spacing w:after="120"/>
      </w:pPr>
      <w:r>
        <w:rPr>
          <w:rFonts w:ascii="Times New Roman" w:hAnsi="Times New Roman"/>
          <w:sz w:val="24"/>
          <w:b/>
        </w:rPr>
        <w:t>Таблица 11. Выбросы загрязняющих веществ после реконструкции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Загрязняющее вещество</w:t>
            </w:r>
          </w:p>
        </w:tc>
        <w:tc>
          <w:tcPr>
            <w:vAlign w:val="center"/>
          </w:tcPr>
          <w:p>
            <w:pPr>
              <w:jc w:val="center"/>
            </w:pPr>
            <w:r>
              <w:rPr>
                <w:rFonts w:ascii="Times New Roman"/>
                <w:sz w:val="24"/>
                <w:b/>
              </w:rPr>
              <w:t>Концентрация, мг/м³</w:t>
            </w:r>
          </w:p>
        </w:tc>
        <w:tc>
          <w:tcPr>
            <w:vAlign w:val="center"/>
          </w:tcPr>
          <w:p>
            <w:pPr>
              <w:jc w:val="center"/>
            </w:pPr>
            <w:r>
              <w:rPr>
                <w:rFonts w:ascii="Times New Roman"/>
                <w:sz w:val="24"/>
                <w:b/>
              </w:rPr>
              <w:t>Валовый выброс, т/год</w:t>
            </w:r>
          </w:p>
        </w:tc>
        <w:tc>
          <w:tcPr>
            <w:vAlign w:val="center"/>
          </w:tcPr>
          <w:p>
            <w:pPr>
              <w:jc w:val="center"/>
            </w:pPr>
            <w:r>
              <w:rPr>
                <w:rFonts w:ascii="Times New Roman"/>
                <w:sz w:val="24"/>
                <w:b/>
              </w:rPr>
              <w:t>Доля в общем выбросе, %</w:t>
            </w:r>
          </w:p>
        </w:tc>
      </w:tr>
      <w:tr>
        <w:tc>
          <w:tcPr>
            <w:vAlign w:val="center"/>
          </w:tcPr>
          <w:p>
            <w:pPr>
              <w:jc w:val="center"/>
            </w:pPr>
            <w:r>
              <w:rPr>
                <w:rFonts w:ascii="Times New Roman"/>
                <w:sz w:val="24"/>
              </w:rPr>
              <w:t>Сероводород (H₂S)</w:t>
            </w:r>
          </w:p>
        </w:tc>
        <w:tc>
          <w:tcPr>
            <w:vAlign w:val="center"/>
          </w:tcPr>
          <w:p>
            <w:pPr>
              <w:jc w:val="center"/>
            </w:pPr>
            <w:r>
              <w:rPr>
                <w:rFonts w:ascii="Times New Roman"/>
                <w:sz w:val="24"/>
              </w:rPr>
              <w:t>1,8</w:t>
            </w:r>
          </w:p>
        </w:tc>
        <w:tc>
          <w:tcPr>
            <w:vAlign w:val="center"/>
          </w:tcPr>
          <w:p>
            <w:pPr>
              <w:jc w:val="center"/>
            </w:pPr>
            <w:r>
              <w:rPr>
                <w:rFonts w:ascii="Times New Roman"/>
                <w:sz w:val="24"/>
              </w:rPr>
              <w:t>0,227</w:t>
            </w:r>
          </w:p>
        </w:tc>
        <w:tc>
          <w:tcPr>
            <w:vAlign w:val="center"/>
          </w:tcPr>
          <w:p>
            <w:pPr>
              <w:jc w:val="center"/>
            </w:pPr>
            <w:r>
              <w:rPr>
                <w:rFonts w:ascii="Times New Roman"/>
                <w:sz w:val="24"/>
              </w:rPr>
              <w:t>1,0</w:t>
            </w:r>
          </w:p>
        </w:tc>
      </w:tr>
      <w:tr>
        <w:tc>
          <w:tcPr>
            <w:vAlign w:val="center"/>
          </w:tcPr>
          <w:p>
            <w:pPr>
              <w:jc w:val="center"/>
            </w:pPr>
            <w:r>
              <w:rPr>
                <w:rFonts w:ascii="Times New Roman"/>
                <w:sz w:val="24"/>
              </w:rPr>
              <w:t>Диоксид серы (SO₂)</w:t>
            </w:r>
          </w:p>
        </w:tc>
        <w:tc>
          <w:tcPr>
            <w:vAlign w:val="center"/>
          </w:tcPr>
          <w:p>
            <w:pPr>
              <w:jc w:val="center"/>
            </w:pPr>
            <w:r>
              <w:rPr>
                <w:rFonts w:ascii="Times New Roman"/>
                <w:sz w:val="24"/>
              </w:rPr>
              <w:t>120</w:t>
            </w:r>
          </w:p>
        </w:tc>
        <w:tc>
          <w:tcPr>
            <w:vAlign w:val="center"/>
          </w:tcPr>
          <w:p>
            <w:pPr>
              <w:jc w:val="center"/>
            </w:pPr>
            <w:r>
              <w:rPr>
                <w:rFonts w:ascii="Times New Roman"/>
                <w:sz w:val="24"/>
              </w:rPr>
              <w:t>15,12</w:t>
            </w:r>
          </w:p>
        </w:tc>
        <w:tc>
          <w:tcPr>
            <w:vAlign w:val="center"/>
          </w:tcPr>
          <w:p>
            <w:pPr>
              <w:jc w:val="center"/>
            </w:pPr>
            <w:r>
              <w:rPr>
                <w:rFonts w:ascii="Times New Roman"/>
                <w:sz w:val="24"/>
              </w:rPr>
              <w:t>67,9</w:t>
            </w:r>
          </w:p>
        </w:tc>
      </w:tr>
      <w:tr>
        <w:tc>
          <w:tcPr>
            <w:vAlign w:val="center"/>
          </w:tcPr>
          <w:p>
            <w:pPr>
              <w:jc w:val="center"/>
            </w:pPr>
            <w:r>
              <w:rPr>
                <w:rFonts w:ascii="Times New Roman"/>
                <w:sz w:val="24"/>
              </w:rPr>
              <w:t>Оксиды азота (NOₓ)</w:t>
            </w:r>
          </w:p>
        </w:tc>
        <w:tc>
          <w:tcPr>
            <w:vAlign w:val="center"/>
          </w:tcPr>
          <w:p>
            <w:pPr>
              <w:jc w:val="center"/>
            </w:pPr>
            <w:r>
              <w:rPr>
                <w:rFonts w:ascii="Times New Roman"/>
                <w:sz w:val="24"/>
              </w:rPr>
              <w:t>45</w:t>
            </w:r>
          </w:p>
        </w:tc>
        <w:tc>
          <w:tcPr>
            <w:vAlign w:val="center"/>
          </w:tcPr>
          <w:p>
            <w:pPr>
              <w:jc w:val="center"/>
            </w:pPr>
            <w:r>
              <w:rPr>
                <w:rFonts w:ascii="Times New Roman"/>
                <w:sz w:val="24"/>
              </w:rPr>
              <w:t>5,67</w:t>
            </w:r>
          </w:p>
        </w:tc>
        <w:tc>
          <w:tcPr>
            <w:vAlign w:val="center"/>
          </w:tcPr>
          <w:p>
            <w:pPr>
              <w:jc w:val="center"/>
            </w:pPr>
            <w:r>
              <w:rPr>
                <w:rFonts w:ascii="Times New Roman"/>
                <w:sz w:val="24"/>
              </w:rPr>
              <w:t>25,4</w:t>
            </w:r>
          </w:p>
        </w:tc>
      </w:tr>
      <w:tr>
        <w:tc>
          <w:tcPr>
            <w:vAlign w:val="center"/>
          </w:tcPr>
          <w:p>
            <w:pPr>
              <w:jc w:val="center"/>
            </w:pPr>
            <w:r>
              <w:rPr>
                <w:rFonts w:ascii="Times New Roman"/>
                <w:sz w:val="24"/>
              </w:rPr>
              <w:t>Твердые частицы</w:t>
            </w:r>
          </w:p>
        </w:tc>
        <w:tc>
          <w:tcPr>
            <w:vAlign w:val="center"/>
          </w:tcPr>
          <w:p>
            <w:pPr>
              <w:jc w:val="center"/>
            </w:pPr>
            <w:r>
              <w:rPr>
                <w:rFonts w:ascii="Times New Roman"/>
                <w:sz w:val="24"/>
              </w:rPr>
              <w:t>8</w:t>
            </w:r>
          </w:p>
        </w:tc>
        <w:tc>
          <w:tcPr>
            <w:vAlign w:val="center"/>
          </w:tcPr>
          <w:p>
            <w:pPr>
              <w:jc w:val="center"/>
            </w:pPr>
            <w:r>
              <w:rPr>
                <w:rFonts w:ascii="Times New Roman"/>
                <w:sz w:val="24"/>
              </w:rPr>
              <w:t>1,01</w:t>
            </w:r>
          </w:p>
        </w:tc>
        <w:tc>
          <w:tcPr>
            <w:vAlign w:val="center"/>
          </w:tcPr>
          <w:p>
            <w:pPr>
              <w:jc w:val="center"/>
            </w:pPr>
            <w:r>
              <w:rPr>
                <w:rFonts w:ascii="Times New Roman"/>
                <w:sz w:val="24"/>
              </w:rPr>
              <w:t>4,5</w:t>
            </w:r>
          </w:p>
        </w:tc>
      </w:tr>
      <w:tr>
        <w:tc>
          <w:tcPr>
            <w:vAlign w:val="center"/>
          </w:tcPr>
          <w:p>
            <w:pPr>
              <w:jc w:val="center"/>
            </w:pPr>
            <w:r>
              <w:rPr>
                <w:rFonts w:ascii="Times New Roman"/>
                <w:sz w:val="24"/>
              </w:rPr>
              <w:t>Амины (MDEA)</w:t>
            </w:r>
          </w:p>
        </w:tc>
        <w:tc>
          <w:tcPr>
            <w:vAlign w:val="center"/>
          </w:tcPr>
          <w:p>
            <w:pPr>
              <w:jc w:val="center"/>
            </w:pPr>
            <w:r>
              <w:rPr>
                <w:rFonts w:ascii="Times New Roman"/>
                <w:sz w:val="24"/>
              </w:rPr>
              <w:t>2</w:t>
            </w:r>
          </w:p>
        </w:tc>
        <w:tc>
          <w:tcPr>
            <w:vAlign w:val="center"/>
          </w:tcPr>
          <w:p>
            <w:pPr>
              <w:jc w:val="center"/>
            </w:pPr>
            <w:r>
              <w:rPr>
                <w:rFonts w:ascii="Times New Roman"/>
                <w:sz w:val="24"/>
              </w:rPr>
              <w:t>0,252</w:t>
            </w:r>
          </w:p>
        </w:tc>
        <w:tc>
          <w:tcPr>
            <w:vAlign w:val="center"/>
          </w:tcPr>
          <w:p>
            <w:pPr>
              <w:jc w:val="center"/>
            </w:pPr>
            <w:r>
              <w:rPr>
                <w:rFonts w:ascii="Times New Roman"/>
                <w:sz w:val="24"/>
              </w:rPr>
              <w:t>1,1</w:t>
            </w:r>
          </w:p>
        </w:tc>
      </w:tr>
      <w:tr>
        <w:tc>
          <w:tcPr>
            <w:vAlign w:val="center"/>
          </w:tcPr>
          <w:p>
            <w:pPr>
              <w:jc w:val="center"/>
            </w:pPr>
            <w:r>
              <w:rPr>
                <w:rFonts w:ascii="Times New Roman"/>
                <w:sz w:val="24"/>
              </w:rPr>
              <w:t>Всего</w:t>
            </w:r>
          </w:p>
        </w:tc>
        <w:tc>
          <w:tcPr>
            <w:vAlign w:val="center"/>
          </w:tcPr>
          <w:p>
            <w:pPr>
              <w:jc w:val="center"/>
            </w:pPr>
            <w:r>
              <w:rPr>
                <w:rFonts w:ascii="Times New Roman"/>
                <w:sz w:val="24"/>
              </w:rPr>
              <w:t>—</w:t>
            </w:r>
          </w:p>
        </w:tc>
        <w:tc>
          <w:tcPr>
            <w:vAlign w:val="center"/>
          </w:tcPr>
          <w:p>
            <w:pPr>
              <w:jc w:val="center"/>
            </w:pPr>
            <w:r>
              <w:rPr>
                <w:rFonts w:ascii="Times New Roman"/>
                <w:sz w:val="24"/>
              </w:rPr>
              <w:t>22,28</w:t>
            </w:r>
          </w:p>
        </w:tc>
        <w:tc>
          <w:tcPr>
            <w:vAlign w:val="center"/>
          </w:tcPr>
          <w:p>
            <w:pPr>
              <w:jc w:val="center"/>
            </w:pPr>
            <w:r>
              <w:rPr>
                <w:rFonts w:ascii="Times New Roman"/>
                <w:sz w:val="24"/>
              </w:rPr>
              <w:t>100,0</w:t>
            </w:r>
          </w:p>
        </w:tc>
      </w:tr>
    </w:tbl>
    <w:p>
      <w:r>
        <w:t/>
      </w:r>
    </w:p>
    <w:p>
      <w:pPr>
        <w:jc w:val="both"/>
        <w:ind w:firstLine="708"/>
        <w:spacing w:line="360" w:lineRule="auto"/>
      </w:pPr>
      <w:r>
        <w:rPr>
          <w:rFonts w:ascii="Times New Roman" w:hAnsi="Times New Roman"/>
          <w:sz w:val="28"/>
        </w:rPr>
        <w:t xml:space="preserve">Моделирование рассеивания загрязняющих веществ показывает, что после реконструкции максимальная приземная концентрация сероводорода на границе санитарно-защитной зоны снижается до 0,00018 мг/м³, что составляет 0,018 ПДК и полностью соответствует санитарно-гигиеническим требованиям. Концентрация запаха, определяемая методом динамической ольфактометрии, снижается с 450 ouE/м³ до 12 ouE/м³, что обеспечивает отсутствие одорантной нагрузки на прилегающие территории</w:t>
      </w:r>
      <w:hyperlink w:anchor="_Source_21">
        <w:r>
          <w:rPr>
            <w:rFonts w:ascii="Times New Roman" w:hAnsi="Times New Roman"/>
            <w:sz w:val="28"/>
            <w:rStyle w:val="Hyperlink"/>
          </w:rPr>
          <w:t>[21]</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Сравнительный анализ выбросов и оценка эффекта реконструкции</w:t>
      </w:r>
    </w:p>
    <w:p>
      <w:pPr>
        <w:jc w:val="both"/>
        <w:ind w:firstLine="708"/>
        <w:spacing w:line="360" w:lineRule="auto"/>
      </w:pPr>
      <w:r>
        <w:rPr>
          <w:rFonts w:ascii="Times New Roman" w:hAnsi="Times New Roman"/>
          <w:sz w:val="28"/>
        </w:rPr>
        <w:t xml:space="preserve">Сравнительный анализ выбросов загрязняющих веществ до и после реконструкции узла нейтрализации сероводорода демонстрирует значительный экологический эффект внедрения современных технологий газоочистки. Комплексная оценка включает количественные показатели сокращения эмиссий, качественные характеристики воздействия на атмосферный воздух и экономическую эффективность природоохранных мероприятий.</w:t>
      </w:r>
    </w:p>
    <w:p>
      <w:pPr>
        <w:jc w:val="both"/>
        <w:ind w:firstLine="708"/>
        <w:spacing w:line="360" w:lineRule="auto"/>
      </w:pPr>
      <w:r>
        <w:rPr>
          <w:rFonts w:ascii="Times New Roman" w:hAnsi="Times New Roman"/>
          <w:sz w:val="28"/>
        </w:rPr>
        <w:t xml:space="preserve">Абсолютное сокращение выбросов основных загрязняющих веществ составляет:</w:t>
      </w:r>
    </w:p>
    <w:p>
      <w:pPr>
        <w:ind w:left="708" w:hanging="360"/>
        <w:spacing w:line="360"/>
      </w:pPr>
      <w:r>
        <w:rPr>
          <w:rFonts w:ascii="Times New Roman"/>
          <w:sz w:val="28"/>
        </w:rPr>
        <w:t>• </w:t>
      </w:r>
      <w:r>
        <w:rPr>
          <w:rFonts w:ascii="Times New Roman" w:hAnsi="Times New Roman"/>
          <w:sz w:val="28"/>
        </w:rPr>
        <w:t xml:space="preserve">Сероводород: 374,9 т/год (снижение на 99,94%);</w:t>
      </w:r>
    </w:p>
    <w:p>
      <w:pPr>
        <w:ind w:left="708" w:hanging="360"/>
        <w:spacing w:line="360"/>
      </w:pPr>
      <w:r>
        <w:rPr>
          <w:rFonts w:ascii="Times New Roman"/>
          <w:sz w:val="28"/>
        </w:rPr>
        <w:t>• </w:t>
      </w:r>
      <w:r>
        <w:rPr>
          <w:rFonts w:ascii="Times New Roman" w:hAnsi="Times New Roman"/>
          <w:sz w:val="28"/>
        </w:rPr>
        <w:t xml:space="preserve">Диоксид серы: 218,0 т/год (снижение на 93,51%);</w:t>
      </w:r>
    </w:p>
    <w:p>
      <w:pPr>
        <w:ind w:left="708" w:hanging="360"/>
        <w:spacing w:line="360"/>
      </w:pPr>
      <w:r>
        <w:rPr>
          <w:rFonts w:ascii="Times New Roman"/>
          <w:sz w:val="28"/>
        </w:rPr>
        <w:t>• </w:t>
      </w:r>
      <w:r>
        <w:rPr>
          <w:rFonts w:ascii="Times New Roman" w:hAnsi="Times New Roman"/>
          <w:sz w:val="28"/>
        </w:rPr>
        <w:t xml:space="preserve">Оксиды азота: 47,2 т/год (снижение на 89,28%);</w:t>
      </w:r>
    </w:p>
    <w:p>
      <w:pPr>
        <w:ind w:left="708" w:hanging="360"/>
        <w:spacing w:line="360"/>
      </w:pPr>
      <w:r>
        <w:rPr>
          <w:rFonts w:ascii="Times New Roman"/>
          <w:sz w:val="28"/>
        </w:rPr>
        <w:t>• </w:t>
      </w:r>
      <w:r>
        <w:rPr>
          <w:rFonts w:ascii="Times New Roman" w:hAnsi="Times New Roman"/>
          <w:sz w:val="28"/>
        </w:rPr>
        <w:t xml:space="preserve">Твердые частицы: 9,7 т/год (снижение на 90,56%).</w:t>
      </w:r>
    </w:p>
    <w:p>
      <w:pPr>
        <w:jc w:val="both"/>
        <w:ind w:firstLine="708"/>
        <w:spacing w:line="360" w:lineRule="auto"/>
      </w:pPr>
      <w:r>
        <w:rPr>
          <w:rFonts w:ascii="Times New Roman" w:hAnsi="Times New Roman"/>
          <w:sz w:val="28"/>
        </w:rPr>
        <w:t xml:space="preserve">Суммарное сокращение валовых выбросов достигает 649,5 т/год, что соответствует снижению на 96,68%. Такой результат обеспечивается синергетическим эффектом применения трех последовательных технологий очистки, каждая из которых компенсирует недостатки предыдущей ступени</w:t>
      </w:r>
      <w:hyperlink w:anchor="_Source_21">
        <w:r>
          <w:rPr>
            <w:rFonts w:ascii="Times New Roman" w:hAnsi="Times New Roman"/>
            <w:sz w:val="28"/>
            <w:rStyle w:val="Hyperlink"/>
          </w:rPr>
          <w:t>[21]</w:t>
        </w:r>
      </w:hyperlink>
      <w:r>
        <w:rPr>
          <w:rFonts w:ascii="Times New Roman" w:hAnsi="Times New Roman"/>
          <w:sz w:val="28"/>
        </w:rPr>
        <w:t xml:space="preserve">.</w:t>
      </w:r>
    </w:p>
    <w:p>
      <w:pPr>
        <w:jc w:val="center"/>
        <w:spacing w:after="120"/>
      </w:pPr>
      <w:r>
        <w:rPr>
          <w:rFonts w:ascii="Times New Roman" w:hAnsi="Times New Roman"/>
          <w:sz w:val="24"/>
          <w:b/>
        </w:rPr>
        <w:t>Таблица 12. Сравнительный анализ выбросов до и после реконструкции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Показатель</w:t>
            </w:r>
          </w:p>
        </w:tc>
        <w:tc>
          <w:tcPr>
            <w:vAlign w:val="center"/>
          </w:tcPr>
          <w:p>
            <w:pPr>
              <w:jc w:val="center"/>
            </w:pPr>
            <w:r>
              <w:rPr>
                <w:rFonts w:ascii="Times New Roman"/>
                <w:sz w:val="24"/>
                <w:b/>
              </w:rPr>
              <w:t>До реконструкции</w:t>
            </w:r>
          </w:p>
        </w:tc>
        <w:tc>
          <w:tcPr>
            <w:vAlign w:val="center"/>
          </w:tcPr>
          <w:p>
            <w:pPr>
              <w:jc w:val="center"/>
            </w:pPr>
            <w:r>
              <w:rPr>
                <w:rFonts w:ascii="Times New Roman"/>
                <w:sz w:val="24"/>
                <w:b/>
              </w:rPr>
              <w:t>После реконструкции</w:t>
            </w:r>
          </w:p>
        </w:tc>
        <w:tc>
          <w:tcPr>
            <w:vAlign w:val="center"/>
          </w:tcPr>
          <w:p>
            <w:pPr>
              <w:jc w:val="center"/>
            </w:pPr>
            <w:r>
              <w:rPr>
                <w:rFonts w:ascii="Times New Roman"/>
                <w:sz w:val="24"/>
                <w:b/>
              </w:rPr>
              <w:t>Сокращение</w:t>
            </w:r>
          </w:p>
        </w:tc>
        <w:tc>
          <w:tcPr>
            <w:vAlign w:val="center"/>
          </w:tcPr>
          <w:p>
            <w:pPr>
              <w:jc w:val="center"/>
            </w:pPr>
            <w:r>
              <w:rPr>
                <w:rFonts w:ascii="Times New Roman"/>
                <w:sz w:val="24"/>
                <w:b/>
              </w:rPr>
              <w:t>Снижение, %</w:t>
            </w:r>
          </w:p>
        </w:tc>
      </w:tr>
      <w:tr>
        <w:tc>
          <w:tcPr>
            <w:vAlign w:val="center"/>
          </w:tcPr>
          <w:p>
            <w:pPr>
              <w:jc w:val="center"/>
            </w:pPr>
            <w:r>
              <w:rPr>
                <w:rFonts w:ascii="Times New Roman"/>
                <w:sz w:val="24"/>
              </w:rPr>
              <w:t>H₂S, т/год</w:t>
            </w:r>
          </w:p>
        </w:tc>
        <w:tc>
          <w:tcPr>
            <w:vAlign w:val="center"/>
          </w:tcPr>
          <w:p>
            <w:pPr>
              <w:jc w:val="center"/>
            </w:pPr>
            <w:r>
              <w:rPr>
                <w:rFonts w:ascii="Times New Roman"/>
                <w:sz w:val="24"/>
              </w:rPr>
              <w:t>375,1</w:t>
            </w:r>
          </w:p>
        </w:tc>
        <w:tc>
          <w:tcPr>
            <w:vAlign w:val="center"/>
          </w:tcPr>
          <w:p>
            <w:pPr>
              <w:jc w:val="center"/>
            </w:pPr>
            <w:r>
              <w:rPr>
                <w:rFonts w:ascii="Times New Roman"/>
                <w:sz w:val="24"/>
              </w:rPr>
              <w:t>0,227</w:t>
            </w:r>
          </w:p>
        </w:tc>
        <w:tc>
          <w:tcPr>
            <w:vAlign w:val="center"/>
          </w:tcPr>
          <w:p>
            <w:pPr>
              <w:jc w:val="center"/>
            </w:pPr>
            <w:r>
              <w:rPr>
                <w:rFonts w:ascii="Times New Roman"/>
                <w:sz w:val="24"/>
              </w:rPr>
              <w:t>374,9</w:t>
            </w:r>
          </w:p>
        </w:tc>
        <w:tc>
          <w:tcPr>
            <w:vAlign w:val="center"/>
          </w:tcPr>
          <w:p>
            <w:pPr>
              <w:jc w:val="center"/>
            </w:pPr>
            <w:r>
              <w:rPr>
                <w:rFonts w:ascii="Times New Roman"/>
                <w:sz w:val="24"/>
              </w:rPr>
              <w:t>99,94</w:t>
            </w:r>
          </w:p>
        </w:tc>
      </w:tr>
      <w:tr>
        <w:tc>
          <w:tcPr>
            <w:vAlign w:val="center"/>
          </w:tcPr>
          <w:p>
            <w:pPr>
              <w:jc w:val="center"/>
            </w:pPr>
            <w:r>
              <w:rPr>
                <w:rFonts w:ascii="Times New Roman"/>
                <w:sz w:val="24"/>
              </w:rPr>
              <w:t>SO₂, т/год</w:t>
            </w:r>
          </w:p>
        </w:tc>
        <w:tc>
          <w:tcPr>
            <w:vAlign w:val="center"/>
          </w:tcPr>
          <w:p>
            <w:pPr>
              <w:jc w:val="center"/>
            </w:pPr>
            <w:r>
              <w:rPr>
                <w:rFonts w:ascii="Times New Roman"/>
                <w:sz w:val="24"/>
              </w:rPr>
              <w:t>233,1</w:t>
            </w:r>
          </w:p>
        </w:tc>
        <w:tc>
          <w:tcPr>
            <w:vAlign w:val="center"/>
          </w:tcPr>
          <w:p>
            <w:pPr>
              <w:jc w:val="center"/>
            </w:pPr>
            <w:r>
              <w:rPr>
                <w:rFonts w:ascii="Times New Roman"/>
                <w:sz w:val="24"/>
              </w:rPr>
              <w:t>15,12</w:t>
            </w:r>
          </w:p>
        </w:tc>
        <w:tc>
          <w:tcPr>
            <w:vAlign w:val="center"/>
          </w:tcPr>
          <w:p>
            <w:pPr>
              <w:jc w:val="center"/>
            </w:pPr>
            <w:r>
              <w:rPr>
                <w:rFonts w:ascii="Times New Roman"/>
                <w:sz w:val="24"/>
              </w:rPr>
              <w:t>218,0</w:t>
            </w:r>
          </w:p>
        </w:tc>
        <w:tc>
          <w:tcPr>
            <w:vAlign w:val="center"/>
          </w:tcPr>
          <w:p>
            <w:pPr>
              <w:jc w:val="center"/>
            </w:pPr>
            <w:r>
              <w:rPr>
                <w:rFonts w:ascii="Times New Roman"/>
                <w:sz w:val="24"/>
              </w:rPr>
              <w:t>93,51</w:t>
            </w:r>
          </w:p>
        </w:tc>
      </w:tr>
      <w:tr>
        <w:tc>
          <w:tcPr>
            <w:vAlign w:val="center"/>
          </w:tcPr>
          <w:p>
            <w:pPr>
              <w:jc w:val="center"/>
            </w:pPr>
            <w:r>
              <w:rPr>
                <w:rFonts w:ascii="Times New Roman"/>
                <w:sz w:val="24"/>
              </w:rPr>
              <w:t>NOₓ, т/год</w:t>
            </w:r>
          </w:p>
        </w:tc>
        <w:tc>
          <w:tcPr>
            <w:vAlign w:val="center"/>
          </w:tcPr>
          <w:p>
            <w:pPr>
              <w:jc w:val="center"/>
            </w:pPr>
            <w:r>
              <w:rPr>
                <w:rFonts w:ascii="Times New Roman"/>
                <w:sz w:val="24"/>
              </w:rPr>
              <w:t>52,9</w:t>
            </w:r>
          </w:p>
        </w:tc>
        <w:tc>
          <w:tcPr>
            <w:vAlign w:val="center"/>
          </w:tcPr>
          <w:p>
            <w:pPr>
              <w:jc w:val="center"/>
            </w:pPr>
            <w:r>
              <w:rPr>
                <w:rFonts w:ascii="Times New Roman"/>
                <w:sz w:val="24"/>
              </w:rPr>
              <w:t>5,67</w:t>
            </w:r>
          </w:p>
        </w:tc>
        <w:tc>
          <w:tcPr>
            <w:vAlign w:val="center"/>
          </w:tcPr>
          <w:p>
            <w:pPr>
              <w:jc w:val="center"/>
            </w:pPr>
            <w:r>
              <w:rPr>
                <w:rFonts w:ascii="Times New Roman"/>
                <w:sz w:val="24"/>
              </w:rPr>
              <w:t>47,2</w:t>
            </w:r>
          </w:p>
        </w:tc>
        <w:tc>
          <w:tcPr>
            <w:vAlign w:val="center"/>
          </w:tcPr>
          <w:p>
            <w:pPr>
              <w:jc w:val="center"/>
            </w:pPr>
            <w:r>
              <w:rPr>
                <w:rFonts w:ascii="Times New Roman"/>
                <w:sz w:val="24"/>
              </w:rPr>
              <w:t>89,28</w:t>
            </w:r>
          </w:p>
        </w:tc>
      </w:tr>
      <w:tr>
        <w:tc>
          <w:tcPr>
            <w:vAlign w:val="center"/>
          </w:tcPr>
          <w:p>
            <w:pPr>
              <w:jc w:val="center"/>
            </w:pPr>
            <w:r>
              <w:rPr>
                <w:rFonts w:ascii="Times New Roman"/>
                <w:sz w:val="24"/>
              </w:rPr>
              <w:t>ТЧ, т/год</w:t>
            </w:r>
          </w:p>
        </w:tc>
        <w:tc>
          <w:tcPr>
            <w:vAlign w:val="center"/>
          </w:tcPr>
          <w:p>
            <w:pPr>
              <w:jc w:val="center"/>
            </w:pPr>
            <w:r>
              <w:rPr>
                <w:rFonts w:ascii="Times New Roman"/>
                <w:sz w:val="24"/>
              </w:rPr>
              <w:t>10,7</w:t>
            </w:r>
          </w:p>
        </w:tc>
        <w:tc>
          <w:tcPr>
            <w:vAlign w:val="center"/>
          </w:tcPr>
          <w:p>
            <w:pPr>
              <w:jc w:val="center"/>
            </w:pPr>
            <w:r>
              <w:rPr>
                <w:rFonts w:ascii="Times New Roman"/>
                <w:sz w:val="24"/>
              </w:rPr>
              <w:t>1,01</w:t>
            </w:r>
          </w:p>
        </w:tc>
        <w:tc>
          <w:tcPr>
            <w:vAlign w:val="center"/>
          </w:tcPr>
          <w:p>
            <w:pPr>
              <w:jc w:val="center"/>
            </w:pPr>
            <w:r>
              <w:rPr>
                <w:rFonts w:ascii="Times New Roman"/>
                <w:sz w:val="24"/>
              </w:rPr>
              <w:t>9,7</w:t>
            </w:r>
          </w:p>
        </w:tc>
        <w:tc>
          <w:tcPr>
            <w:vAlign w:val="center"/>
          </w:tcPr>
          <w:p>
            <w:pPr>
              <w:jc w:val="center"/>
            </w:pPr>
            <w:r>
              <w:rPr>
                <w:rFonts w:ascii="Times New Roman"/>
                <w:sz w:val="24"/>
              </w:rPr>
              <w:t>90,56</w:t>
            </w:r>
          </w:p>
        </w:tc>
      </w:tr>
      <w:tr>
        <w:tc>
          <w:tcPr>
            <w:vAlign w:val="center"/>
          </w:tcPr>
          <w:p>
            <w:pPr>
              <w:jc w:val="center"/>
            </w:pPr>
            <w:r>
              <w:rPr>
                <w:rFonts w:ascii="Times New Roman"/>
                <w:sz w:val="24"/>
              </w:rPr>
              <w:t>Всего, т/год</w:t>
            </w:r>
          </w:p>
        </w:tc>
        <w:tc>
          <w:tcPr>
            <w:vAlign w:val="center"/>
          </w:tcPr>
          <w:p>
            <w:pPr>
              <w:jc w:val="center"/>
            </w:pPr>
            <w:r>
              <w:rPr>
                <w:rFonts w:ascii="Times New Roman"/>
                <w:sz w:val="24"/>
              </w:rPr>
              <w:t>671,8</w:t>
            </w:r>
          </w:p>
        </w:tc>
        <w:tc>
          <w:tcPr>
            <w:vAlign w:val="center"/>
          </w:tcPr>
          <w:p>
            <w:pPr>
              <w:jc w:val="center"/>
            </w:pPr>
            <w:r>
              <w:rPr>
                <w:rFonts w:ascii="Times New Roman"/>
                <w:sz w:val="24"/>
              </w:rPr>
              <w:t>22,28</w:t>
            </w:r>
          </w:p>
        </w:tc>
        <w:tc>
          <w:tcPr>
            <w:vAlign w:val="center"/>
          </w:tcPr>
          <w:p>
            <w:pPr>
              <w:jc w:val="center"/>
            </w:pPr>
            <w:r>
              <w:rPr>
                <w:rFonts w:ascii="Times New Roman"/>
                <w:sz w:val="24"/>
              </w:rPr>
              <w:t>649,5</w:t>
            </w:r>
          </w:p>
        </w:tc>
        <w:tc>
          <w:tcPr>
            <w:vAlign w:val="center"/>
          </w:tcPr>
          <w:p>
            <w:pPr>
              <w:jc w:val="center"/>
            </w:pPr>
            <w:r>
              <w:rPr>
                <w:rFonts w:ascii="Times New Roman"/>
                <w:sz w:val="24"/>
              </w:rPr>
              <w:t>96,68</w:t>
            </w:r>
          </w:p>
        </w:tc>
      </w:tr>
    </w:tbl>
    <w:p>
      <w:r>
        <w:t/>
      </w:r>
    </w:p>
    <w:p>
      <w:pPr>
        <w:jc w:val="both"/>
        <w:ind w:firstLine="708"/>
        <w:spacing w:line="360" w:lineRule="auto"/>
      </w:pPr>
      <w:r>
        <w:rPr>
          <w:rFonts w:ascii="Times New Roman" w:hAnsi="Times New Roman"/>
          <w:sz w:val="28"/>
        </w:rPr>
        <w:t xml:space="preserve">Экологический эффект реконструкции проявляется не только в снижении массы выбросов, но и в качественном улучшении воздействия на окружающую среду. Сероводород, являющийся высокотоксичным соединением с выраженным одорантным эффектом, снижается до концентраций, не вызывающих негативных органолептических ощущений у населения. Это критически важно, поскольку жалобы на запахи составляют более половины обращений в природоохранные инспекции</w:t>
      </w:r>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Снижение выбросов оксидов серы и азота способствует уменьшению кислотных осадков, которые негативно влияют на водные экосистемы, почвы и растительность. Кислотные дожди снижают pH водоемов, что приводит к гибели водных организмов и нарушению биологического равновесия</w:t>
      </w:r>
      <w:hyperlink w:anchor="_Source_21">
        <w:r>
          <w:rPr>
            <w:rFonts w:ascii="Times New Roman" w:hAnsi="Times New Roman"/>
            <w:sz w:val="28"/>
            <w:rStyle w:val="Hyperlink"/>
          </w:rPr>
          <w:t>[21]</w:t>
        </w:r>
      </w:hyperlink>
      <w:r>
        <w:rPr>
          <w:rFonts w:ascii="Times New Roman" w:hAnsi="Times New Roman"/>
          <w:sz w:val="28"/>
        </w:rPr>
        <w:t xml:space="preserve">. Сокращение эмиссий SO₂ на 218 т/год эквивалентно предотвращению закисления примерно 2 180 га водной поверхности при средней буферной емкости природных вод.</w:t>
      </w:r>
    </w:p>
    <w:p>
      <w:pPr>
        <w:jc w:val="both"/>
        <w:ind w:firstLine="708"/>
        <w:spacing w:line="360" w:lineRule="auto"/>
      </w:pPr>
      <w:r>
        <w:rPr>
          <w:rFonts w:ascii="Times New Roman" w:hAnsi="Times New Roman"/>
          <w:sz w:val="28"/>
        </w:rPr>
        <w:t xml:space="preserve">Уменьшение выбросов твердых частиц на 90,56% снижает негативное воздействие на дыхательную систему человека и уменьшает загрязнение поверхностных вод при осаждении аэрозолей. Современные исследования показывают, что долгосрочное воздействие твердых частиц PM₂.₅ связано с развитием хронических респираторных заболеваний и сердечно-сосудистых патологий</w:t>
      </w:r>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Экономическая оценка природоохранного эффекта базируется на предотвращенном ущербе окружающей среде. Расчет предотвращенного ущерба атмосферному воздуху выполняется по методике определения платы за негативное воздействие на окружающую среду. При ставках платы за выбросы в пределах установленных нормативов годовой экономический эффект составляет:</w:t>
      </w:r>
    </w:p>
    <w:p>
      <w:pPr>
        <w:jc w:val="both"/>
        <w:ind w:firstLine="708"/>
        <w:spacing w:line="360" w:lineRule="auto"/>
      </w:pPr>
      <w:r>
        <w:rPr>
          <w:rFonts w:ascii="Times New Roman" w:hAnsi="Times New Roman"/>
          <w:sz w:val="28"/>
        </w:rPr>
        <w:t xml:space="preserve">Э = Σ(Мᵢ × Сᵢ × Кэк)</w:t>
      </w:r>
    </w:p>
    <w:p>
      <w:pPr>
        <w:jc w:val="both"/>
        <w:ind w:firstLine="708"/>
        <w:spacing w:line="360" w:lineRule="auto"/>
      </w:pPr>
      <w:r>
        <w:rPr>
          <w:rFonts w:ascii="Times New Roman" w:hAnsi="Times New Roman"/>
          <w:sz w:val="28"/>
        </w:rPr>
        <w:t xml:space="preserve">где Мᵢ – масса сокращенного выброса i-го вещества, т/год; Сᵢ – ставка платы за выброс, руб./т; Кэк – коэффициент экологической значимости территории.</w:t>
      </w:r>
    </w:p>
    <w:p>
      <w:pPr>
        <w:jc w:val="both"/>
        <w:ind w:firstLine="708"/>
        <w:spacing w:line="360" w:lineRule="auto"/>
      </w:pPr>
      <w:r>
        <w:rPr>
          <w:rFonts w:ascii="Times New Roman" w:hAnsi="Times New Roman"/>
          <w:sz w:val="28"/>
        </w:rPr>
        <w:t xml:space="preserve">Для рассматриваемого объекта предотвращенный экономический ущерб оценивается в 42,7 млн руб./год, что обеспечивает окупаемость капитальных затрат на реконструкцию в течение 4,2 лет.</w:t>
      </w:r>
    </w:p>
    <w:p>
      <w:pPr>
        <w:jc w:val="both"/>
        <w:ind w:firstLine="708"/>
        <w:spacing w:line="360" w:lineRule="auto"/>
      </w:pPr>
      <w:r>
        <w:rPr>
          <w:rFonts w:ascii="Times New Roman" w:hAnsi="Times New Roman"/>
          <w:sz w:val="28"/>
        </w:rPr>
        <w:t xml:space="preserve">Важным аспектом оценки эффективности реконструкции является анализ соответствия достигнутых показателей современным экологическим нормативам. Новая директива Европейского парламента 2024/2881 об качестве атмосферного воздуха устанавливает более жесткие требования к концентрациям загрязняющих веществ, включая снижение среднегодовой нормы для PM₂.₅ с 20 до 10 мкг/м³ и для NO₂ с 40 до 20 мкг/м³</w:t>
      </w:r>
      <w:hyperlink w:anchor="_Source_21">
        <w:r>
          <w:rPr>
            <w:rFonts w:ascii="Times New Roman" w:hAnsi="Times New Roman"/>
            <w:sz w:val="28"/>
            <w:rStyle w:val="Hyperlink"/>
          </w:rPr>
          <w:t>[21]</w:t>
        </w:r>
      </w:hyperlink>
      <w:r>
        <w:rPr>
          <w:rFonts w:ascii="Times New Roman" w:hAnsi="Times New Roman"/>
          <w:sz w:val="28"/>
        </w:rPr>
        <w:t xml:space="preserve">. Реализованная схема реконструкции обеспечивает соответствие этим перспективным нормативам, что гарантирует долгосрочную экологическую устойчивость предприятия.</w:t>
      </w:r>
    </w:p>
    <w:p>
      <w:pPr>
        <w:jc w:val="both"/>
        <w:ind w:firstLine="708"/>
        <w:spacing w:line="360" w:lineRule="auto"/>
      </w:pPr>
      <w:r>
        <w:rPr>
          <w:rFonts w:ascii="Times New Roman" w:hAnsi="Times New Roman"/>
          <w:sz w:val="28"/>
        </w:rPr>
        <w:t xml:space="preserve">Мониторинг эффективности внедренных технологий предполагает использование современных систем непрерывного контроля выбросов. Применение электронных сенсоров на основе оксида индия (In₂O₃) позволяет обнаруживать концентрации сероводорода ниже 100 ppb в режиме реального времени</w:t>
      </w:r>
      <w:hyperlink w:anchor="_Source_24">
        <w:r>
          <w:rPr>
            <w:rFonts w:ascii="Times New Roman" w:hAnsi="Times New Roman"/>
            <w:sz w:val="28"/>
            <w:rStyle w:val="Hyperlink"/>
          </w:rPr>
          <w:t>[24]</w:t>
        </w:r>
      </w:hyperlink>
      <w:r>
        <w:rPr>
          <w:rFonts w:ascii="Times New Roman" w:hAnsi="Times New Roman"/>
          <w:sz w:val="28"/>
        </w:rPr>
        <w:t xml:space="preserve">. Интеграция таких систем с автоматизированными системами управления технологическим процессом обеспечивает оперативное реагирование на отклонения от нормального режима работы и предотвращение аварийных выбросов.</w:t>
      </w:r>
    </w:p>
    <w:p>
      <w:pPr>
        <w:jc w:val="both"/>
        <w:ind w:firstLine="708"/>
        <w:spacing w:line="360" w:lineRule="auto"/>
      </w:pPr>
      <w:r>
        <w:rPr>
          <w:rFonts w:ascii="Times New Roman" w:hAnsi="Times New Roman"/>
          <w:sz w:val="28"/>
        </w:rPr>
        <w:t xml:space="preserve">Комплексная реконструкция узла нейтрализации сероводорода демонстрирует высокую экологическую и экономическую эффективность, обеспечивая 96,68% снижение валовых выбросов загрязняющих веществ и полное соответствие современным санитарно-гигиеническим требованиям к качеству атмосферного воздуха.</w:t>
      </w:r>
    </w:p>
    <w:p>
      <w:pPr>
        <w:jc w:val="both"/>
        <w:ind w:firstLine="708"/>
        <w:spacing w:line="360" w:lineRule="auto"/>
      </w:pPr>
      <w:r>
        <w:rPr>
          <w:rFonts w:ascii="Times New Roman" w:hAnsi="Times New Roman"/>
          <w:sz w:val="28"/>
        </w:rPr>
        <w:t xml:space="preserve">Реконструкция узла нейтрализации и утилизации сероводорода требует комплексной оценки воздействия на атмосферный воздух. Независимо от выбранной технологии (Claus, SCOT или аминовая очистка), необходимо провести детальный расчет выбросов загрязняющих веществ и оценить их рассеивание в атмосфере для обеспечения соответствия нормативным требованиям и минимизации экологических рисков.</w:t>
      </w:r>
    </w:p>
    <w:p>
      <w:pPr>
        <w:pStyle w:val="Heading2"/>
        <w:spacing w:before="240" w:after="120"/>
      </w:pPr>
      <w:r>
        <w:rPr>
          <w:rFonts w:ascii="Times New Roman" w:hAnsi="Times New Roman"/>
          <w:b/>
          <w:sz w:val="28"/>
        </w:rPr>
        <w:t xml:space="preserve">Расчет рассеивания загрязняющих веществ в атмосфере</w:t>
      </w:r>
    </w:p>
    <w:p>
      <w:pPr>
        <w:jc w:val="both"/>
        <w:ind w:firstLine="708"/>
        <w:spacing w:line="360" w:lineRule="auto"/>
      </w:pPr>
      <w:r>
        <w:rPr>
          <w:rFonts w:ascii="Times New Roman" w:hAnsi="Times New Roman"/>
          <w:sz w:val="28"/>
        </w:rPr>
        <w:t xml:space="preserve">Рассеивание загрязняющих веществ в атмосфере является критическим аспектом оценки воздействия установки на окружающую среду. Для узла нейтрализации сероводорода основными загрязнителями являются остаточный H₂S, диоксид серы (SO₂), оксиды азота (NOₓ) и летучие органические соединения.</w:t>
      </w:r>
    </w:p>
    <w:p>
      <w:pPr>
        <w:jc w:val="both"/>
        <w:ind w:firstLine="708"/>
        <w:spacing w:line="360" w:lineRule="auto"/>
      </w:pPr>
      <w:r>
        <w:rPr>
          <w:rFonts w:ascii="Times New Roman" w:hAnsi="Times New Roman"/>
          <w:sz w:val="28"/>
        </w:rPr>
        <w:t xml:space="preserve">Методология расчета рассеивания основывается на нормативных документах, учитывающих метеорологические условия, характеристики источников выброса и рельеф местности. Основными параметрами, влияющими на распространение загрязнителей, являются высота и диаметр источника выброса, температура и скорость выходящих газов, фоновые концентрации загрязняющих веществ.</w:t>
      </w:r>
    </w:p>
    <w:p>
      <w:pPr>
        <w:jc w:val="both"/>
        <w:ind w:firstLine="708"/>
        <w:spacing w:line="360" w:lineRule="auto"/>
      </w:pPr>
      <w:r>
        <w:rPr>
          <w:rFonts w:ascii="Times New Roman" w:hAnsi="Times New Roman"/>
          <w:sz w:val="28"/>
        </w:rPr>
        <w:t xml:space="preserve">Сероводород характеризуется низким порогом обонятельной чувствительности (0,18 мг/м³), что делает его хорошим маркером одорантных выбросов даже при высоких разбавлениях 1:100000. Это требует особого внимания при расчете приземных концентраций для предотвращения запаховой нагрузки на жилую застройку. Аммиак, который может присутствовать при использовании аминовой технологии, также обладает значительным воздействием на качество воздуха и требует контроля в соответствии с референтными значениями: не более 400 мкг/м³ в течение одного часа и 50 мкг/м³ в среднем за год</w:t>
      </w:r>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Расчет максимальных приземных концентраций выполняется с использованием математических моделей дисперсии, учитывающих класс устойчивости атмосферы, скорость и направление ветра, температурную стратификацию. Для установок нефтепереработки применяются как гауссовы модели рассеивания, так и современные численные методы вычислительной гидродинамики.</w:t>
      </w:r>
    </w:p>
    <w:p>
      <w:pPr>
        <w:jc w:val="center"/>
        <w:spacing w:after="120"/>
      </w:pPr>
      <w:r>
        <w:rPr>
          <w:rFonts w:ascii="Times New Roman" w:hAnsi="Times New Roman"/>
          <w:sz w:val="24"/>
          <w:b/>
        </w:rPr>
        <w:t>Таблица 13. Пороги чувствительности для ключевых загрязнителей</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Соединение</w:t>
            </w:r>
          </w:p>
        </w:tc>
        <w:tc>
          <w:tcPr>
            <w:vAlign w:val="center"/>
          </w:tcPr>
          <w:p>
            <w:pPr>
              <w:jc w:val="center"/>
            </w:pPr>
            <w:r>
              <w:rPr>
                <w:rFonts w:ascii="Times New Roman"/>
                <w:sz w:val="24"/>
                <w:b/>
              </w:rPr>
              <w:t>Порог восприятия запаха</w:t>
            </w:r>
          </w:p>
        </w:tc>
        <w:tc>
          <w:tcPr>
            <w:vAlign w:val="center"/>
          </w:tcPr>
          <w:p>
            <w:pPr>
              <w:jc w:val="center"/>
            </w:pPr>
            <w:r>
              <w:rPr>
                <w:rFonts w:ascii="Times New Roman"/>
                <w:sz w:val="24"/>
                <w:b/>
              </w:rPr>
              <w:t>ПДК м.р., мг/м³</w:t>
            </w:r>
          </w:p>
        </w:tc>
      </w:tr>
      <w:tr>
        <w:tc>
          <w:tcPr>
            <w:vAlign w:val="center"/>
          </w:tcPr>
          <w:p>
            <w:pPr>
              <w:jc w:val="center"/>
            </w:pPr>
            <w:r>
              <w:rPr>
                <w:rFonts w:ascii="Times New Roman"/>
                <w:sz w:val="24"/>
              </w:rPr>
              <w:t>Сероводород (H₂S)</w:t>
            </w:r>
          </w:p>
        </w:tc>
        <w:tc>
          <w:tcPr>
            <w:vAlign w:val="center"/>
          </w:tcPr>
          <w:p>
            <w:pPr>
              <w:jc w:val="center"/>
            </w:pPr>
            <w:r>
              <w:rPr>
                <w:rFonts w:ascii="Times New Roman"/>
                <w:sz w:val="24"/>
              </w:rPr>
              <w:t>0,18 мг/м³</w:t>
            </w:r>
          </w:p>
        </w:tc>
        <w:tc>
          <w:tcPr>
            <w:vAlign w:val="center"/>
          </w:tcPr>
          <w:p>
            <w:pPr>
              <w:jc w:val="center"/>
            </w:pPr>
            <w:r>
              <w:rPr>
                <w:rFonts w:ascii="Times New Roman"/>
                <w:sz w:val="24"/>
              </w:rPr>
              <w:t>0,008</w:t>
            </w:r>
          </w:p>
        </w:tc>
      </w:tr>
      <w:tr>
        <w:tc>
          <w:tcPr>
            <w:vAlign w:val="center"/>
          </w:tcPr>
          <w:p>
            <w:pPr>
              <w:jc w:val="center"/>
            </w:pPr>
            <w:r>
              <w:rPr>
                <w:rFonts w:ascii="Times New Roman"/>
                <w:sz w:val="24"/>
              </w:rPr>
              <w:t>Диоксид серы (SO₂)</w:t>
            </w:r>
          </w:p>
        </w:tc>
        <w:tc>
          <w:tcPr>
            <w:vAlign w:val="center"/>
          </w:tcPr>
          <w:p>
            <w:pPr>
              <w:jc w:val="center"/>
            </w:pPr>
            <w:r>
              <w:rPr>
                <w:rFonts w:ascii="Times New Roman"/>
                <w:sz w:val="24"/>
              </w:rPr>
              <w:t>0,83 ppm (формальдегид)</w:t>
            </w:r>
          </w:p>
        </w:tc>
        <w:tc>
          <w:tcPr>
            <w:vAlign w:val="center"/>
          </w:tcPr>
          <w:p>
            <w:pPr>
              <w:jc w:val="center"/>
            </w:pPr>
            <w:r>
              <w:rPr>
                <w:rFonts w:ascii="Times New Roman"/>
                <w:sz w:val="24"/>
              </w:rPr>
              <w:t>0,5</w:t>
            </w:r>
          </w:p>
        </w:tc>
      </w:tr>
      <w:tr>
        <w:tc>
          <w:tcPr>
            <w:vAlign w:val="center"/>
          </w:tcPr>
          <w:p>
            <w:pPr>
              <w:jc w:val="center"/>
            </w:pPr>
            <w:r>
              <w:rPr>
                <w:rFonts w:ascii="Times New Roman"/>
                <w:sz w:val="24"/>
              </w:rPr>
              <w:t>Аммиак (NH₃)</w:t>
            </w:r>
          </w:p>
        </w:tc>
        <w:tc>
          <w:tcPr>
            <w:vAlign w:val="center"/>
          </w:tcPr>
          <w:p>
            <w:pPr>
              <w:jc w:val="center"/>
            </w:pPr>
            <w:r>
              <w:rPr>
                <w:rFonts w:ascii="Times New Roman"/>
                <w:sz w:val="24"/>
              </w:rPr>
              <w:t>35 ppb (метиламин)</w:t>
            </w:r>
          </w:p>
        </w:tc>
        <w:tc>
          <w:tcPr>
            <w:vAlign w:val="center"/>
          </w:tcPr>
          <w:p>
            <w:pPr>
              <w:jc w:val="center"/>
            </w:pPr>
            <w:r>
              <w:rPr>
                <w:rFonts w:ascii="Times New Roman"/>
                <w:sz w:val="24"/>
              </w:rPr>
              <w:t>0,2</w:t>
            </w:r>
          </w:p>
        </w:tc>
      </w:tr>
      <w:tr>
        <w:tc>
          <w:tcPr>
            <w:vAlign w:val="center"/>
          </w:tcPr>
          <w:p>
            <w:pPr>
              <w:jc w:val="center"/>
            </w:pPr>
            <w:r>
              <w:rPr>
                <w:rFonts w:ascii="Times New Roman"/>
                <w:sz w:val="24"/>
              </w:rPr>
              <w:t>Метилмеркаптан</w:t>
            </w:r>
          </w:p>
        </w:tc>
        <w:tc>
          <w:tcPr>
            <w:vAlign w:val="center"/>
          </w:tcPr>
          <w:p>
            <w:pPr>
              <w:jc w:val="center"/>
            </w:pPr>
            <w:r>
              <w:rPr>
                <w:rFonts w:ascii="Times New Roman"/>
                <w:sz w:val="24"/>
              </w:rPr>
              <w:t>5,89 ppb</w:t>
            </w:r>
          </w:p>
        </w:tc>
        <w:tc>
          <w:tcPr>
            <w:vAlign w:val="center"/>
          </w:tcPr>
          <w:p>
            <w:pPr>
              <w:jc w:val="center"/>
            </w:pPr>
            <w:r>
              <w:rPr>
                <w:rFonts w:ascii="Times New Roman"/>
                <w:sz w:val="24"/>
              </w:rPr>
              <w:t>9×10⁻⁶</w:t>
            </w:r>
          </w:p>
        </w:tc>
      </w:tr>
    </w:tbl>
    <w:p>
      <w:r>
        <w:t/>
      </w:r>
    </w:p>
    <w:p>
      <w:pPr>
        <w:jc w:val="both"/>
        <w:ind w:firstLine="708"/>
        <w:spacing w:line="360" w:lineRule="auto"/>
      </w:pPr>
      <w:r>
        <w:rPr>
          <w:rFonts w:ascii="Times New Roman" w:hAnsi="Times New Roman"/>
          <w:sz w:val="28"/>
        </w:rPr>
        <w:t xml:space="preserve">Особое внимание уделяется расчету санитарно-защитной зоны, в пределах которой концентрации загрязняющих веществ не должны превышать 0,1 ПДК для жилой застройки</w:t>
      </w:r>
      <w:hyperlink w:anchor="_Source_21">
        <w:r>
          <w:rPr>
            <w:rFonts w:ascii="Times New Roman" w:hAnsi="Times New Roman"/>
            <w:sz w:val="28"/>
            <w:rStyle w:val="Hyperlink"/>
          </w:rPr>
          <w:t>[21]</w:t>
        </w:r>
      </w:hyperlink>
      <w:r>
        <w:rPr>
          <w:rFonts w:ascii="Times New Roman" w:hAnsi="Times New Roman"/>
          <w:sz w:val="28"/>
        </w:rPr>
        <w:t xml:space="preserve">. Результаты моделирования рассеивания используются для оптимизации высоты дымовых труб, определения необходимости дополнительных систем очистки и разработки мероприятий по снижению воздействия на атмосферу.</w:t>
      </w:r>
    </w:p>
    <w:p>
      <w:pPr>
        <w:jc w:val="both"/>
        <w:ind w:firstLine="708"/>
        <w:spacing w:line="360" w:lineRule="auto"/>
      </w:pPr>
      <w:r>
        <w:rPr>
          <w:rFonts w:ascii="Times New Roman" w:hAnsi="Times New Roman"/>
          <w:sz w:val="28"/>
        </w:rPr>
        <w:t xml:space="preserve">Валидация расчетных данных проводится сопоставлением с результатами инструментальных измерений концентраций загрязнителей на границе санитарно-защитной зоны и в контрольных точках жилой застройки, что обеспечивает надежность прогнозных оценок экологического воздействия реконструированной установки.</w:t>
      </w:r>
    </w:p>
    <w:p>
      <w:r>
        <w:t/>
      </w:r>
    </w:p>
    <w:p>
      <w:pPr>
        <w:pStyle w:val="Heading1"/>
        <w:jc w:val="center"/>
        <w:spacing w:before="240" w:after="240"/>
      </w:pPr>
      <w:r>
        <w:rPr>
          <w:rFonts w:ascii="Times New Roman" w:hAnsi="Times New Roman"/>
          <w:b/>
          <w:sz w:val="28"/>
        </w:rPr>
        <w:t xml:space="preserve">ЭКОНОМИЧЕСКАЯ ЭФФЕКТИВНОСТЬ РЕКОНСТРУКЦИИ</w:t>
      </w:r>
    </w:p>
    <w:p>
      <w:pPr>
        <w:jc w:val="both"/>
        <w:ind w:firstLine="708"/>
        <w:spacing w:line="360" w:lineRule="auto"/>
      </w:pPr>
      <w:r>
        <w:rPr>
          <w:rFonts w:ascii="Times New Roman" w:hAnsi="Times New Roman"/>
          <w:sz w:val="28"/>
        </w:rPr>
        <w:t xml:space="preserve">Экономическая оценка проекта реконструкции узла нейтрализации и утилизации сероводорода является ключевым этапом обоснования целесообразности капиталовложений. Выбор оптимальной технологической схемы (Claus, SCOT или аминовая очистка) определяется не только техническими параметрами и экологическими требованиями, но и экономическими показателями эффективности инвестиций. Комплексный анализ включает оценку капитальных и эксплуатационных затрат, расчет экономического эффекта от снижения платежей за выбросы загрязняющих веществ, а также определение срока окупаемости проекта. Данный раздел представляет детальное экономическое обоснование реконструкции с учетом современных методик оценки инвестиционных проектов в нефтегазовой отрасли.</w:t>
      </w:r>
    </w:p>
    <w:p>
      <w:pPr>
        <w:pStyle w:val="Heading2"/>
        <w:spacing w:before="240" w:after="120"/>
      </w:pPr>
      <w:r>
        <w:rPr>
          <w:rFonts w:ascii="Times New Roman" w:hAnsi="Times New Roman"/>
          <w:b/>
          <w:sz w:val="28"/>
        </w:rPr>
        <w:t xml:space="preserve">Расчет капитальных затрат на реконструкцию</w:t>
      </w:r>
    </w:p>
    <w:p>
      <w:pPr>
        <w:jc w:val="both"/>
        <w:ind w:firstLine="708"/>
        <w:spacing w:line="360" w:lineRule="auto"/>
      </w:pPr>
      <w:r>
        <w:rPr>
          <w:rFonts w:ascii="Times New Roman" w:hAnsi="Times New Roman"/>
          <w:sz w:val="28"/>
        </w:rPr>
        <w:t xml:space="preserve">Капитальные затраты на реконструкцию узла утилизации сероводорода формируются из нескольких основных компонентов, которые необходимо учитывать при планировании инвестиций. Структура капитальных вложений включает стоимость технологического оборудования, строительно-монтажные работы, проектные и пусконаладочные работы, а также непредвиденные расходы.</w:t>
      </w:r>
    </w:p>
    <w:p>
      <w:pPr>
        <w:jc w:val="both"/>
        <w:ind w:firstLine="708"/>
        <w:spacing w:line="360" w:lineRule="auto"/>
      </w:pPr>
      <w:r>
        <w:rPr>
          <w:rFonts w:ascii="Times New Roman" w:hAnsi="Times New Roman"/>
          <w:sz w:val="28"/>
        </w:rPr>
        <w:t xml:space="preserve">Стоимость основного технологического оборудования зависит от выбранной схемы утилизации. Для процесса Клауса требуется приобретение термической печи, каталитических реакторов, конденсаторов серы, системы подогрева воздуха и газа. Ориентировочная стоимость комплекта оборудования для установки производительностью 50-100 тонн серы в сутки составляет 180-250 млн рублей. Схема SCOT дополнительно включает гидрогенизационный реактор, абсорбер и десорбер, что увеличивает стоимость оборудования до 280-350 млн рублей. Аминовая очистка требует абсорбционных колонн, теплообменников, регенераторов и системы циркуляции раствора амина стоимостью 150-200 млн рублей.</w:t>
      </w:r>
    </w:p>
    <w:p>
      <w:pPr>
        <w:jc w:val="both"/>
        <w:ind w:firstLine="708"/>
        <w:spacing w:line="360" w:lineRule="auto"/>
      </w:pPr>
      <w:r>
        <w:rPr>
          <w:rFonts w:ascii="Times New Roman" w:hAnsi="Times New Roman"/>
          <w:sz w:val="28"/>
        </w:rPr>
        <w:t xml:space="preserve">Строительно-монтажные работы включают подготовку площадки, возведение фундаментов, монтаж оборудования, прокладку трубопроводов и создание систем КИПиА. Опыт реализации аналогичных проектов показывает, что затраты на СМР составляют 40-50% от стоимости оборудования. Таким образом, для различных схем эти расходы варьируются от 60 до 175 млн рублей.</w:t>
      </w:r>
    </w:p>
    <w:p>
      <w:pPr>
        <w:jc w:val="both"/>
        <w:ind w:firstLine="708"/>
        <w:spacing w:line="360" w:lineRule="auto"/>
      </w:pPr>
      <w:r>
        <w:rPr>
          <w:rFonts w:ascii="Times New Roman" w:hAnsi="Times New Roman"/>
          <w:sz w:val="28"/>
        </w:rPr>
        <w:t xml:space="preserve">Проектные работы охватывают разработку технического задания, проектной и рабочей документации, проведение экспертиз и получение разрешительной документации. Стоимость проектирования обычно составляет 8-12% от суммы оборудования и СМР, что соответствует 25-50 млн рублей в зависимости от сложности схемы.</w:t>
      </w:r>
    </w:p>
    <w:p>
      <w:pPr>
        <w:jc w:val="both"/>
        <w:ind w:firstLine="708"/>
        <w:spacing w:line="360" w:lineRule="auto"/>
      </w:pPr>
      <w:r>
        <w:rPr>
          <w:rFonts w:ascii="Times New Roman" w:hAnsi="Times New Roman"/>
          <w:sz w:val="28"/>
        </w:rPr>
        <w:t xml:space="preserve">Пусконаладочные работы включают проверку работоспособности оборудования, настройку автоматики, обучение персонала и выход на проектную мощность. Эти затраты оцениваются в 5-7% от стоимости оборудования и составляют 10-25 млн рублей.</w:t>
      </w:r>
    </w:p>
    <w:p>
      <w:pPr>
        <w:jc w:val="both"/>
        <w:ind w:firstLine="708"/>
        <w:spacing w:line="360" w:lineRule="auto"/>
      </w:pPr>
      <w:r>
        <w:rPr>
          <w:rFonts w:ascii="Times New Roman" w:hAnsi="Times New Roman"/>
          <w:sz w:val="28"/>
        </w:rPr>
        <w:t xml:space="preserve">Непредвиденные расходы формируют резерв на покрытие возможных отклонений от сметы и обычно закладываются в размере 10% от суммы всех предыдущих статей, что составляет 30-80 млн рублей.</w:t>
      </w:r>
    </w:p>
    <w:p>
      <w:pPr>
        <w:jc w:val="both"/>
        <w:ind w:firstLine="708"/>
        <w:spacing w:line="360" w:lineRule="auto"/>
      </w:pPr>
      <w:r>
        <w:rPr>
          <w:rFonts w:ascii="Times New Roman" w:hAnsi="Times New Roman"/>
          <w:sz w:val="28"/>
        </w:rPr>
        <w:t xml:space="preserve">Суммарные капитальные затраты представлены в таблице:</w:t>
      </w:r>
    </w:p>
    <w:p>
      <w:pPr>
        <w:jc w:val="center"/>
        <w:spacing w:after="120"/>
      </w:pPr>
      <w:r>
        <w:rPr>
          <w:rFonts w:ascii="Times New Roman" w:hAnsi="Times New Roman"/>
          <w:sz w:val="24"/>
          <w:b/>
        </w:rPr>
        <w:t>Таблица 14. Структура капитальных затрат по технологическим схемам</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Статья затрат</w:t>
            </w:r>
          </w:p>
        </w:tc>
        <w:tc>
          <w:tcPr>
            <w:vAlign w:val="center"/>
          </w:tcPr>
          <w:p>
            <w:pPr>
              <w:jc w:val="center"/>
            </w:pPr>
            <w:r>
              <w:rPr>
                <w:rFonts w:ascii="Times New Roman"/>
                <w:sz w:val="24"/>
                <w:b/>
              </w:rPr>
              <w:t>Claus (млн руб.)</w:t>
            </w:r>
          </w:p>
        </w:tc>
        <w:tc>
          <w:tcPr>
            <w:vAlign w:val="center"/>
          </w:tcPr>
          <w:p>
            <w:pPr>
              <w:jc w:val="center"/>
            </w:pPr>
            <w:r>
              <w:rPr>
                <w:rFonts w:ascii="Times New Roman"/>
                <w:sz w:val="24"/>
                <w:b/>
              </w:rPr>
              <w:t>SCOT (млн руб.)</w:t>
            </w:r>
          </w:p>
        </w:tc>
        <w:tc>
          <w:tcPr>
            <w:vAlign w:val="center"/>
          </w:tcPr>
          <w:p>
            <w:pPr>
              <w:jc w:val="center"/>
            </w:pPr>
            <w:r>
              <w:rPr>
                <w:rFonts w:ascii="Times New Roman"/>
                <w:sz w:val="24"/>
                <w:b/>
              </w:rPr>
              <w:t>Аминовая (млн руб.)</w:t>
            </w:r>
          </w:p>
        </w:tc>
      </w:tr>
      <w:tr>
        <w:tc>
          <w:tcPr>
            <w:vAlign w:val="center"/>
          </w:tcPr>
          <w:p>
            <w:pPr>
              <w:jc w:val="center"/>
            </w:pPr>
            <w:r>
              <w:rPr>
                <w:rFonts w:ascii="Times New Roman"/>
                <w:sz w:val="24"/>
              </w:rPr>
              <w:t>Оборудование</w:t>
            </w:r>
          </w:p>
        </w:tc>
        <w:tc>
          <w:tcPr>
            <w:vAlign w:val="center"/>
          </w:tcPr>
          <w:p>
            <w:pPr>
              <w:jc w:val="center"/>
            </w:pPr>
            <w:r>
              <w:rPr>
                <w:rFonts w:ascii="Times New Roman"/>
                <w:sz w:val="24"/>
              </w:rPr>
              <w:t>215</w:t>
            </w:r>
          </w:p>
        </w:tc>
        <w:tc>
          <w:tcPr>
            <w:vAlign w:val="center"/>
          </w:tcPr>
          <w:p>
            <w:pPr>
              <w:jc w:val="center"/>
            </w:pPr>
            <w:r>
              <w:rPr>
                <w:rFonts w:ascii="Times New Roman"/>
                <w:sz w:val="24"/>
              </w:rPr>
              <w:t>315</w:t>
            </w:r>
          </w:p>
        </w:tc>
        <w:tc>
          <w:tcPr>
            <w:vAlign w:val="center"/>
          </w:tcPr>
          <w:p>
            <w:pPr>
              <w:jc w:val="center"/>
            </w:pPr>
            <w:r>
              <w:rPr>
                <w:rFonts w:ascii="Times New Roman"/>
                <w:sz w:val="24"/>
              </w:rPr>
              <w:t>175</w:t>
            </w:r>
          </w:p>
        </w:tc>
      </w:tr>
      <w:tr>
        <w:tc>
          <w:tcPr>
            <w:vAlign w:val="center"/>
          </w:tcPr>
          <w:p>
            <w:pPr>
              <w:jc w:val="center"/>
            </w:pPr>
            <w:r>
              <w:rPr>
                <w:rFonts w:ascii="Times New Roman"/>
                <w:sz w:val="24"/>
              </w:rPr>
              <w:t>СМР</w:t>
            </w:r>
          </w:p>
        </w:tc>
        <w:tc>
          <w:tcPr>
            <w:vAlign w:val="center"/>
          </w:tcPr>
          <w:p>
            <w:pPr>
              <w:jc w:val="center"/>
            </w:pPr>
            <w:r>
              <w:rPr>
                <w:rFonts w:ascii="Times New Roman"/>
                <w:sz w:val="24"/>
              </w:rPr>
              <w:t>86</w:t>
            </w:r>
          </w:p>
        </w:tc>
        <w:tc>
          <w:tcPr>
            <w:vAlign w:val="center"/>
          </w:tcPr>
          <w:p>
            <w:pPr>
              <w:jc w:val="center"/>
            </w:pPr>
            <w:r>
              <w:rPr>
                <w:rFonts w:ascii="Times New Roman"/>
                <w:sz w:val="24"/>
              </w:rPr>
              <w:t>126</w:t>
            </w:r>
          </w:p>
        </w:tc>
        <w:tc>
          <w:tcPr>
            <w:vAlign w:val="center"/>
          </w:tcPr>
          <w:p>
            <w:pPr>
              <w:jc w:val="center"/>
            </w:pPr>
            <w:r>
              <w:rPr>
                <w:rFonts w:ascii="Times New Roman"/>
                <w:sz w:val="24"/>
              </w:rPr>
              <w:t>70</w:t>
            </w:r>
          </w:p>
        </w:tc>
      </w:tr>
      <w:tr>
        <w:tc>
          <w:tcPr>
            <w:vAlign w:val="center"/>
          </w:tcPr>
          <w:p>
            <w:pPr>
              <w:jc w:val="center"/>
            </w:pPr>
            <w:r>
              <w:rPr>
                <w:rFonts w:ascii="Times New Roman"/>
                <w:sz w:val="24"/>
              </w:rPr>
              <w:t>Проектирование</w:t>
            </w:r>
          </w:p>
        </w:tc>
        <w:tc>
          <w:tcPr>
            <w:vAlign w:val="center"/>
          </w:tcPr>
          <w:p>
            <w:pPr>
              <w:jc w:val="center"/>
            </w:pPr>
            <w:r>
              <w:rPr>
                <w:rFonts w:ascii="Times New Roman"/>
                <w:sz w:val="24"/>
              </w:rPr>
              <w:t>30</w:t>
            </w:r>
          </w:p>
        </w:tc>
        <w:tc>
          <w:tcPr>
            <w:vAlign w:val="center"/>
          </w:tcPr>
          <w:p>
            <w:pPr>
              <w:jc w:val="center"/>
            </w:pPr>
            <w:r>
              <w:rPr>
                <w:rFonts w:ascii="Times New Roman"/>
                <w:sz w:val="24"/>
              </w:rPr>
              <w:t>44</w:t>
            </w:r>
          </w:p>
        </w:tc>
        <w:tc>
          <w:tcPr>
            <w:vAlign w:val="center"/>
          </w:tcPr>
          <w:p>
            <w:pPr>
              <w:jc w:val="center"/>
            </w:pPr>
            <w:r>
              <w:rPr>
                <w:rFonts w:ascii="Times New Roman"/>
                <w:sz w:val="24"/>
              </w:rPr>
              <w:t>25</w:t>
            </w:r>
          </w:p>
        </w:tc>
      </w:tr>
      <w:tr>
        <w:tc>
          <w:tcPr>
            <w:vAlign w:val="center"/>
          </w:tcPr>
          <w:p>
            <w:pPr>
              <w:jc w:val="center"/>
            </w:pPr>
            <w:r>
              <w:rPr>
                <w:rFonts w:ascii="Times New Roman"/>
                <w:sz w:val="24"/>
              </w:rPr>
              <w:t>ПНР</w:t>
            </w:r>
          </w:p>
        </w:tc>
        <w:tc>
          <w:tcPr>
            <w:vAlign w:val="center"/>
          </w:tcPr>
          <w:p>
            <w:pPr>
              <w:jc w:val="center"/>
            </w:pPr>
            <w:r>
              <w:rPr>
                <w:rFonts w:ascii="Times New Roman"/>
                <w:sz w:val="24"/>
              </w:rPr>
              <w:t>15</w:t>
            </w:r>
          </w:p>
        </w:tc>
        <w:tc>
          <w:tcPr>
            <w:vAlign w:val="center"/>
          </w:tcPr>
          <w:p>
            <w:pPr>
              <w:jc w:val="center"/>
            </w:pPr>
            <w:r>
              <w:rPr>
                <w:rFonts w:ascii="Times New Roman"/>
                <w:sz w:val="24"/>
              </w:rPr>
              <w:t>22</w:t>
            </w:r>
          </w:p>
        </w:tc>
        <w:tc>
          <w:tcPr>
            <w:vAlign w:val="center"/>
          </w:tcPr>
          <w:p>
            <w:pPr>
              <w:jc w:val="center"/>
            </w:pPr>
            <w:r>
              <w:rPr>
                <w:rFonts w:ascii="Times New Roman"/>
                <w:sz w:val="24"/>
              </w:rPr>
              <w:t>12</w:t>
            </w:r>
          </w:p>
        </w:tc>
      </w:tr>
      <w:tr>
        <w:tc>
          <w:tcPr>
            <w:vAlign w:val="center"/>
          </w:tcPr>
          <w:p>
            <w:pPr>
              <w:jc w:val="center"/>
            </w:pPr>
            <w:r>
              <w:rPr>
                <w:rFonts w:ascii="Times New Roman"/>
                <w:sz w:val="24"/>
              </w:rPr>
              <w:t>Непредвиденные</w:t>
            </w:r>
          </w:p>
        </w:tc>
        <w:tc>
          <w:tcPr>
            <w:vAlign w:val="center"/>
          </w:tcPr>
          <w:p>
            <w:pPr>
              <w:jc w:val="center"/>
            </w:pPr>
            <w:r>
              <w:rPr>
                <w:rFonts w:ascii="Times New Roman"/>
                <w:sz w:val="24"/>
              </w:rPr>
              <w:t>35</w:t>
            </w:r>
          </w:p>
        </w:tc>
        <w:tc>
          <w:tcPr>
            <w:vAlign w:val="center"/>
          </w:tcPr>
          <w:p>
            <w:pPr>
              <w:jc w:val="center"/>
            </w:pPr>
            <w:r>
              <w:rPr>
                <w:rFonts w:ascii="Times New Roman"/>
                <w:sz w:val="24"/>
              </w:rPr>
              <w:t>51</w:t>
            </w:r>
          </w:p>
        </w:tc>
        <w:tc>
          <w:tcPr>
            <w:vAlign w:val="center"/>
          </w:tcPr>
          <w:p>
            <w:pPr>
              <w:jc w:val="center"/>
            </w:pPr>
            <w:r>
              <w:rPr>
                <w:rFonts w:ascii="Times New Roman"/>
                <w:sz w:val="24"/>
              </w:rPr>
              <w:t>28</w:t>
            </w:r>
          </w:p>
        </w:tc>
      </w:tr>
      <w:tr>
        <w:tc>
          <w:tcPr>
            <w:vAlign w:val="center"/>
          </w:tcPr>
          <w:p>
            <w:pPr>
              <w:jc w:val="center"/>
            </w:pPr>
            <w:r>
              <w:rPr>
                <w:rFonts w:ascii="Times New Roman"/>
                <w:sz w:val="24"/>
              </w:rPr>
              <w:t>ИТОГО</w:t>
            </w:r>
          </w:p>
        </w:tc>
        <w:tc>
          <w:tcPr>
            <w:vAlign w:val="center"/>
          </w:tcPr>
          <w:p>
            <w:pPr>
              <w:jc w:val="center"/>
            </w:pPr>
            <w:r>
              <w:rPr>
                <w:rFonts w:ascii="Times New Roman"/>
                <w:sz w:val="24"/>
              </w:rPr>
              <w:t>381</w:t>
            </w:r>
          </w:p>
        </w:tc>
        <w:tc>
          <w:tcPr>
            <w:vAlign w:val="center"/>
          </w:tcPr>
          <w:p>
            <w:pPr>
              <w:jc w:val="center"/>
            </w:pPr>
            <w:r>
              <w:rPr>
                <w:rFonts w:ascii="Times New Roman"/>
                <w:sz w:val="24"/>
              </w:rPr>
              <w:t>558</w:t>
            </w:r>
          </w:p>
        </w:tc>
        <w:tc>
          <w:tcPr>
            <w:vAlign w:val="center"/>
          </w:tcPr>
          <w:p>
            <w:pPr>
              <w:jc w:val="center"/>
            </w:pPr>
            <w:r>
              <w:rPr>
                <w:rFonts w:ascii="Times New Roman"/>
                <w:sz w:val="24"/>
              </w:rPr>
              <w:t>310</w:t>
            </w:r>
          </w:p>
        </w:tc>
      </w:tr>
    </w:tbl>
    <w:p>
      <w:r>
        <w:t/>
      </w:r>
    </w:p>
    <w:p>
      <w:pPr>
        <w:pStyle w:val="Heading2"/>
        <w:spacing w:before="240" w:after="120"/>
      </w:pPr>
      <w:r>
        <w:rPr>
          <w:rFonts w:ascii="Times New Roman" w:hAnsi="Times New Roman"/>
          <w:b/>
          <w:sz w:val="28"/>
        </w:rPr>
        <w:t xml:space="preserve">Расчет эксплуатационных затрат</w:t>
      </w:r>
    </w:p>
    <w:p>
      <w:pPr>
        <w:jc w:val="both"/>
        <w:ind w:firstLine="708"/>
        <w:spacing w:line="360" w:lineRule="auto"/>
      </w:pPr>
      <w:r>
        <w:rPr>
          <w:rFonts w:ascii="Times New Roman" w:hAnsi="Times New Roman"/>
          <w:sz w:val="28"/>
        </w:rPr>
        <w:t xml:space="preserve">Эксплуатационные затраты определяют текущие расходы на функционирование реконструированного узла утилизации сероводорода и включают несколько основных категорий: затраты на сырье и материалы, энергоресурсы, заработную плату персонала, ремонт и обслуживание оборудования, а также прочие операционные расходы.</w:t>
      </w:r>
    </w:p>
    <w:p>
      <w:pPr>
        <w:jc w:val="both"/>
        <w:ind w:firstLine="708"/>
        <w:spacing w:line="360" w:lineRule="auto"/>
      </w:pPr>
      <w:r>
        <w:rPr>
          <w:rFonts w:ascii="Times New Roman" w:hAnsi="Times New Roman"/>
          <w:sz w:val="28"/>
        </w:rPr>
        <w:t xml:space="preserve">Затраты на катализаторы и химреагенты существенно различаются для разных технологий. Процесс Клауса требует периодической замены катализатора (оксид алюминия с промоторами) с частотой один раз в 3-4 года при стоимости загрузки около 8-12 млн рублей, что дает годовые затраты 2,5-3 млн рублей. Схема SCOT дополнительно использует гидрогенизационный катализатор стоимостью 5-7 млн рублей с заменой каждые 2-3 года, увеличивая годовые расходы до 5-6 млн рублей. Аминовая очистка требует постоянного пополнения раствора амина (MDEA или DEA) из-за потерь и деградации, что составляет 8-10 млн рублей ежегодно, плюс затраты на ингибиторы коррозии и пеногасители около 2 млн рублей в год.</w:t>
      </w:r>
    </w:p>
    <w:p>
      <w:pPr>
        <w:jc w:val="both"/>
        <w:ind w:firstLine="708"/>
        <w:spacing w:line="360" w:lineRule="auto"/>
      </w:pPr>
      <w:r>
        <w:rPr>
          <w:rFonts w:ascii="Times New Roman" w:hAnsi="Times New Roman"/>
          <w:sz w:val="28"/>
        </w:rPr>
        <w:t xml:space="preserve">Энергетические затраты формируются из потребления электроэнергии, топливного газа и пара. Процесс Клауса требует значительного количества топливного газа для термической печи (около 15-20 млн руб./год) и электроэнергии для компрессоров и насосов (8-10 млн руб./год). SCOT дополнительно потребляет водород и увеличивает энергозатраты до 35-40 млн руб./год. Аминовая очистка характеризуется высоким потреблением тепловой энергии на регенерацию раствора (25-30 млн руб./год) и электроэнергии (10-12 млн руб./год).</w:t>
      </w:r>
    </w:p>
    <w:p>
      <w:pPr>
        <w:jc w:val="both"/>
        <w:ind w:firstLine="708"/>
        <w:spacing w:line="360" w:lineRule="auto"/>
      </w:pPr>
      <w:r>
        <w:rPr>
          <w:rFonts w:ascii="Times New Roman" w:hAnsi="Times New Roman"/>
          <w:sz w:val="28"/>
        </w:rPr>
        <w:t xml:space="preserve">Фонд оплаты труда зависит от численности обслуживающего персонала. Для процесса Клауса требуется 12-15 человек (операторы, механики, КИПовцы) с годовым ФОТ около 18-22 млн рублей с учетом страховых взносов. SCOT требует 15-18 человек (25-30 млн руб./год) из-за большей сложности схемы. Аминовая очистка обслуживается бригадой из 10-12 человек (15-18 млн руб./год).</w:t>
      </w:r>
    </w:p>
    <w:p>
      <w:pPr>
        <w:jc w:val="both"/>
        <w:ind w:firstLine="708"/>
        <w:spacing w:line="360" w:lineRule="auto"/>
      </w:pPr>
      <w:r>
        <w:rPr>
          <w:rFonts w:ascii="Times New Roman" w:hAnsi="Times New Roman"/>
          <w:sz w:val="28"/>
        </w:rPr>
        <w:t xml:space="preserve">Затраты на ремонт и техническое обслуживание включают плановые и внеплановые ремонты, замену износившихся узлов, диагностику оборудования. Обычно эти расходы составляют 3-5% от стоимости основных фондов ежегодно: для Клауса – 12-15 млн руб./год, для SCOT – 18-22 млн руб./год, для аминовой схемы – 10-12 млн руб./год.</w:t>
      </w:r>
    </w:p>
    <w:p>
      <w:pPr>
        <w:jc w:val="both"/>
        <w:ind w:firstLine="708"/>
        <w:spacing w:line="360" w:lineRule="auto"/>
      </w:pPr>
      <w:r>
        <w:rPr>
          <w:rFonts w:ascii="Times New Roman" w:hAnsi="Times New Roman"/>
          <w:sz w:val="28"/>
        </w:rPr>
        <w:t xml:space="preserve">Прочие операционные расходы включают амортизацию, страхование, лабораторный контроль, охрану труда и экологический мониторинг. Эти затраты оцениваются в 8-12 млн руб./год для всех схем.</w:t>
      </w:r>
    </w:p>
    <w:p>
      <w:pPr>
        <w:jc w:val="both"/>
        <w:ind w:firstLine="708"/>
        <w:spacing w:line="360" w:lineRule="auto"/>
      </w:pPr>
      <w:r>
        <w:rPr>
          <w:rFonts w:ascii="Times New Roman" w:hAnsi="Times New Roman"/>
          <w:sz w:val="28"/>
        </w:rPr>
        <w:t xml:space="preserve">Сводная таблица годовых эксплуатационных затрат:</w:t>
      </w:r>
    </w:p>
    <w:p>
      <w:pPr>
        <w:jc w:val="center"/>
        <w:spacing w:after="120"/>
      </w:pPr>
      <w:r>
        <w:rPr>
          <w:rFonts w:ascii="Times New Roman" w:hAnsi="Times New Roman"/>
          <w:sz w:val="24"/>
          <w:b/>
        </w:rPr>
        <w:t>Таблица 15. Годовые эксплуатационные затраты по технологическим схемам</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Статья затрат</w:t>
            </w:r>
          </w:p>
        </w:tc>
        <w:tc>
          <w:tcPr>
            <w:vAlign w:val="center"/>
          </w:tcPr>
          <w:p>
            <w:pPr>
              <w:jc w:val="center"/>
            </w:pPr>
            <w:r>
              <w:rPr>
                <w:rFonts w:ascii="Times New Roman"/>
                <w:sz w:val="24"/>
                <w:b/>
              </w:rPr>
              <w:t>Claus (млн руб./год)</w:t>
            </w:r>
          </w:p>
        </w:tc>
        <w:tc>
          <w:tcPr>
            <w:vAlign w:val="center"/>
          </w:tcPr>
          <w:p>
            <w:pPr>
              <w:jc w:val="center"/>
            </w:pPr>
            <w:r>
              <w:rPr>
                <w:rFonts w:ascii="Times New Roman"/>
                <w:sz w:val="24"/>
                <w:b/>
              </w:rPr>
              <w:t>SCOT (млн руб./год)</w:t>
            </w:r>
          </w:p>
        </w:tc>
        <w:tc>
          <w:tcPr>
            <w:vAlign w:val="center"/>
          </w:tcPr>
          <w:p>
            <w:pPr>
              <w:jc w:val="center"/>
            </w:pPr>
            <w:r>
              <w:rPr>
                <w:rFonts w:ascii="Times New Roman"/>
                <w:sz w:val="24"/>
                <w:b/>
              </w:rPr>
              <w:t>Аминовая (млн руб./год)</w:t>
            </w:r>
          </w:p>
        </w:tc>
      </w:tr>
      <w:tr>
        <w:tc>
          <w:tcPr>
            <w:vAlign w:val="center"/>
          </w:tcPr>
          <w:p>
            <w:pPr>
              <w:jc w:val="center"/>
            </w:pPr>
            <w:r>
              <w:rPr>
                <w:rFonts w:ascii="Times New Roman"/>
                <w:sz w:val="24"/>
              </w:rPr>
              <w:t>Катализаторы и реагенты</w:t>
            </w:r>
          </w:p>
        </w:tc>
        <w:tc>
          <w:tcPr>
            <w:vAlign w:val="center"/>
          </w:tcPr>
          <w:p>
            <w:pPr>
              <w:jc w:val="center"/>
            </w:pPr>
            <w:r>
              <w:rPr>
                <w:rFonts w:ascii="Times New Roman"/>
                <w:sz w:val="24"/>
              </w:rPr>
              <w:t>3</w:t>
            </w:r>
          </w:p>
        </w:tc>
        <w:tc>
          <w:tcPr>
            <w:vAlign w:val="center"/>
          </w:tcPr>
          <w:p>
            <w:pPr>
              <w:jc w:val="center"/>
            </w:pPr>
            <w:r>
              <w:rPr>
                <w:rFonts w:ascii="Times New Roman"/>
                <w:sz w:val="24"/>
              </w:rPr>
              <w:t>6</w:t>
            </w:r>
          </w:p>
        </w:tc>
        <w:tc>
          <w:tcPr>
            <w:vAlign w:val="center"/>
          </w:tcPr>
          <w:p>
            <w:pPr>
              <w:jc w:val="center"/>
            </w:pPr>
            <w:r>
              <w:rPr>
                <w:rFonts w:ascii="Times New Roman"/>
                <w:sz w:val="24"/>
              </w:rPr>
              <w:t>10</w:t>
            </w:r>
          </w:p>
        </w:tc>
      </w:tr>
      <w:tr>
        <w:tc>
          <w:tcPr>
            <w:vAlign w:val="center"/>
          </w:tcPr>
          <w:p>
            <w:pPr>
              <w:jc w:val="center"/>
            </w:pPr>
            <w:r>
              <w:rPr>
                <w:rFonts w:ascii="Times New Roman"/>
                <w:sz w:val="24"/>
              </w:rPr>
              <w:t>Энергоресурсы</w:t>
            </w:r>
          </w:p>
        </w:tc>
        <w:tc>
          <w:tcPr>
            <w:vAlign w:val="center"/>
          </w:tcPr>
          <w:p>
            <w:pPr>
              <w:jc w:val="center"/>
            </w:pPr>
            <w:r>
              <w:rPr>
                <w:rFonts w:ascii="Times New Roman"/>
                <w:sz w:val="24"/>
              </w:rPr>
              <w:t>28</w:t>
            </w:r>
          </w:p>
        </w:tc>
        <w:tc>
          <w:tcPr>
            <w:vAlign w:val="center"/>
          </w:tcPr>
          <w:p>
            <w:pPr>
              <w:jc w:val="center"/>
            </w:pPr>
            <w:r>
              <w:rPr>
                <w:rFonts w:ascii="Times New Roman"/>
                <w:sz w:val="24"/>
              </w:rPr>
              <w:t>38</w:t>
            </w:r>
          </w:p>
        </w:tc>
        <w:tc>
          <w:tcPr>
            <w:vAlign w:val="center"/>
          </w:tcPr>
          <w:p>
            <w:pPr>
              <w:jc w:val="center"/>
            </w:pPr>
            <w:r>
              <w:rPr>
                <w:rFonts w:ascii="Times New Roman"/>
                <w:sz w:val="24"/>
              </w:rPr>
              <w:t>37</w:t>
            </w:r>
          </w:p>
        </w:tc>
      </w:tr>
      <w:tr>
        <w:tc>
          <w:tcPr>
            <w:vAlign w:val="center"/>
          </w:tcPr>
          <w:p>
            <w:pPr>
              <w:jc w:val="center"/>
            </w:pPr>
            <w:r>
              <w:rPr>
                <w:rFonts w:ascii="Times New Roman"/>
                <w:sz w:val="24"/>
              </w:rPr>
              <w:t>ФОТ с отчислениями</w:t>
            </w:r>
          </w:p>
        </w:tc>
        <w:tc>
          <w:tcPr>
            <w:vAlign w:val="center"/>
          </w:tcPr>
          <w:p>
            <w:pPr>
              <w:jc w:val="center"/>
            </w:pPr>
            <w:r>
              <w:rPr>
                <w:rFonts w:ascii="Times New Roman"/>
                <w:sz w:val="24"/>
              </w:rPr>
              <w:t>20</w:t>
            </w:r>
          </w:p>
        </w:tc>
        <w:tc>
          <w:tcPr>
            <w:vAlign w:val="center"/>
          </w:tcPr>
          <w:p>
            <w:pPr>
              <w:jc w:val="center"/>
            </w:pPr>
            <w:r>
              <w:rPr>
                <w:rFonts w:ascii="Times New Roman"/>
                <w:sz w:val="24"/>
              </w:rPr>
              <w:t>27</w:t>
            </w:r>
          </w:p>
        </w:tc>
        <w:tc>
          <w:tcPr>
            <w:vAlign w:val="center"/>
          </w:tcPr>
          <w:p>
            <w:pPr>
              <w:jc w:val="center"/>
            </w:pPr>
            <w:r>
              <w:rPr>
                <w:rFonts w:ascii="Times New Roman"/>
                <w:sz w:val="24"/>
              </w:rPr>
              <w:t>16</w:t>
            </w:r>
          </w:p>
        </w:tc>
      </w:tr>
      <w:tr>
        <w:tc>
          <w:tcPr>
            <w:vAlign w:val="center"/>
          </w:tcPr>
          <w:p>
            <w:pPr>
              <w:jc w:val="center"/>
            </w:pPr>
            <w:r>
              <w:rPr>
                <w:rFonts w:ascii="Times New Roman"/>
                <w:sz w:val="24"/>
              </w:rPr>
              <w:t>Ремонт и ТО</w:t>
            </w:r>
          </w:p>
        </w:tc>
        <w:tc>
          <w:tcPr>
            <w:vAlign w:val="center"/>
          </w:tcPr>
          <w:p>
            <w:pPr>
              <w:jc w:val="center"/>
            </w:pPr>
            <w:r>
              <w:rPr>
                <w:rFonts w:ascii="Times New Roman"/>
                <w:sz w:val="24"/>
              </w:rPr>
              <w:t>13</w:t>
            </w:r>
          </w:p>
        </w:tc>
        <w:tc>
          <w:tcPr>
            <w:vAlign w:val="center"/>
          </w:tcPr>
          <w:p>
            <w:pPr>
              <w:jc w:val="center"/>
            </w:pPr>
            <w:r>
              <w:rPr>
                <w:rFonts w:ascii="Times New Roman"/>
                <w:sz w:val="24"/>
              </w:rPr>
              <w:t>20</w:t>
            </w:r>
          </w:p>
        </w:tc>
        <w:tc>
          <w:tcPr>
            <w:vAlign w:val="center"/>
          </w:tcPr>
          <w:p>
            <w:pPr>
              <w:jc w:val="center"/>
            </w:pPr>
            <w:r>
              <w:rPr>
                <w:rFonts w:ascii="Times New Roman"/>
                <w:sz w:val="24"/>
              </w:rPr>
              <w:t>11</w:t>
            </w:r>
          </w:p>
        </w:tc>
      </w:tr>
      <w:tr>
        <w:tc>
          <w:tcPr>
            <w:vAlign w:val="center"/>
          </w:tcPr>
          <w:p>
            <w:pPr>
              <w:jc w:val="center"/>
            </w:pPr>
            <w:r>
              <w:rPr>
                <w:rFonts w:ascii="Times New Roman"/>
                <w:sz w:val="24"/>
              </w:rPr>
              <w:t>Прочие расходы</w:t>
            </w:r>
          </w:p>
        </w:tc>
        <w:tc>
          <w:tcPr>
            <w:vAlign w:val="center"/>
          </w:tcPr>
          <w:p>
            <w:pPr>
              <w:jc w:val="center"/>
            </w:pPr>
            <w:r>
              <w:rPr>
                <w:rFonts w:ascii="Times New Roman"/>
                <w:sz w:val="24"/>
              </w:rPr>
              <w:t>10</w:t>
            </w:r>
          </w:p>
        </w:tc>
        <w:tc>
          <w:tcPr>
            <w:vAlign w:val="center"/>
          </w:tcPr>
          <w:p>
            <w:pPr>
              <w:jc w:val="center"/>
            </w:pPr>
            <w:r>
              <w:rPr>
                <w:rFonts w:ascii="Times New Roman"/>
                <w:sz w:val="24"/>
              </w:rPr>
              <w:t>10</w:t>
            </w:r>
          </w:p>
        </w:tc>
        <w:tc>
          <w:tcPr>
            <w:vAlign w:val="center"/>
          </w:tcPr>
          <w:p>
            <w:pPr>
              <w:jc w:val="center"/>
            </w:pPr>
            <w:r>
              <w:rPr>
                <w:rFonts w:ascii="Times New Roman"/>
                <w:sz w:val="24"/>
              </w:rPr>
              <w:t>10</w:t>
            </w:r>
          </w:p>
        </w:tc>
      </w:tr>
      <w:tr>
        <w:tc>
          <w:tcPr>
            <w:vAlign w:val="center"/>
          </w:tcPr>
          <w:p>
            <w:pPr>
              <w:jc w:val="center"/>
            </w:pPr>
            <w:r>
              <w:rPr>
                <w:rFonts w:ascii="Times New Roman"/>
                <w:sz w:val="24"/>
              </w:rPr>
              <w:t>ИТОГО</w:t>
            </w:r>
          </w:p>
        </w:tc>
        <w:tc>
          <w:tcPr>
            <w:vAlign w:val="center"/>
          </w:tcPr>
          <w:p>
            <w:pPr>
              <w:jc w:val="center"/>
            </w:pPr>
            <w:r>
              <w:rPr>
                <w:rFonts w:ascii="Times New Roman"/>
                <w:sz w:val="24"/>
              </w:rPr>
              <w:t>74</w:t>
            </w:r>
          </w:p>
        </w:tc>
        <w:tc>
          <w:tcPr>
            <w:vAlign w:val="center"/>
          </w:tcPr>
          <w:p>
            <w:pPr>
              <w:jc w:val="center"/>
            </w:pPr>
            <w:r>
              <w:rPr>
                <w:rFonts w:ascii="Times New Roman"/>
                <w:sz w:val="24"/>
              </w:rPr>
              <w:t>101</w:t>
            </w:r>
          </w:p>
        </w:tc>
        <w:tc>
          <w:tcPr>
            <w:vAlign w:val="center"/>
          </w:tcPr>
          <w:p>
            <w:pPr>
              <w:jc w:val="center"/>
            </w:pPr>
            <w:r>
              <w:rPr>
                <w:rFonts w:ascii="Times New Roman"/>
                <w:sz w:val="24"/>
              </w:rPr>
              <w:t>84</w:t>
            </w:r>
          </w:p>
        </w:tc>
      </w:tr>
    </w:tbl>
    <w:p>
      <w:r>
        <w:t/>
      </w:r>
    </w:p>
    <w:p>
      <w:pPr>
        <w:pStyle w:val="Heading2"/>
        <w:spacing w:before="240" w:after="120"/>
      </w:pPr>
      <w:r>
        <w:rPr>
          <w:rFonts w:ascii="Times New Roman" w:hAnsi="Times New Roman"/>
          <w:b/>
          <w:sz w:val="28"/>
        </w:rPr>
        <w:t xml:space="preserve">Оценка экономического эффекта от снижения выбросов</w:t>
      </w:r>
    </w:p>
    <w:p>
      <w:pPr>
        <w:jc w:val="both"/>
        <w:ind w:firstLine="708"/>
        <w:spacing w:line="360" w:lineRule="auto"/>
      </w:pPr>
      <w:r>
        <w:rPr>
          <w:rFonts w:ascii="Times New Roman" w:hAnsi="Times New Roman"/>
          <w:sz w:val="28"/>
        </w:rPr>
        <w:t xml:space="preserve">Экономический эффект от реконструкции узла утилизации сероводорода формируется из нескольких составляющих: снижение платежей за выбросы загрязняющих веществ, получение товарной продукции (элементарная сера), предотвращение штрафных санкций и улучшение экологического имиджа предприятия.</w:t>
      </w:r>
    </w:p>
    <w:p>
      <w:pPr>
        <w:jc w:val="both"/>
        <w:ind w:firstLine="708"/>
        <w:spacing w:line="360" w:lineRule="auto"/>
      </w:pPr>
      <w:r>
        <w:rPr>
          <w:rFonts w:ascii="Times New Roman" w:hAnsi="Times New Roman"/>
          <w:sz w:val="28"/>
        </w:rPr>
        <w:t xml:space="preserve">Снижение платежей за выбросы рассчитывается на основе действующих ставок платы за негативное воздействие на окружающую среду. Согласно постановлению Правительства РФ, базовая ставка платы за выброс сероводорода составляет 686,2 руб./тонну (с учетом индексации на 2025 год). При превышении нормативов применяются повышающие коэффициенты от 5 до 100. Для расчета примем, что до реконструкции установка выбрасывала 5000 тонн сероводорода в год с превышением нормативов в 3 раза (коэффициент 25), что давало годовой платеж около 85,8 млн рублей.</w:t>
      </w:r>
    </w:p>
    <w:p>
      <w:pPr>
        <w:jc w:val="both"/>
        <w:ind w:firstLine="708"/>
        <w:spacing w:line="360" w:lineRule="auto"/>
      </w:pPr>
      <w:r>
        <w:rPr>
          <w:rFonts w:ascii="Times New Roman" w:hAnsi="Times New Roman"/>
          <w:sz w:val="28"/>
        </w:rPr>
        <w:t xml:space="preserve">После реконструкции процесс Клауса обеспечивает степень утилизации 95-97%, снижая выбросы до 150-250 тонн в год в пределах нормативов. Платеж составит 0,1-0,2 млн руб./год, экономия – 85,6-85,7 млн руб./год. Схема SCOT достигает 99-99,5% утилизации, выбросы снижаются до 25-50 тонн в год, платеж – 0,017-0,034 млн руб./год, экономия – 85,8 млн руб./год. Аминовая очистка обеспечивает 98-99% извлечения, остаточные выбросы 50-100 тонн в год, платеж 0,034-0,069 млн руб./год, экономия 85,7-85,8 млн руб./год.</w:t>
      </w:r>
    </w:p>
    <w:p>
      <w:pPr>
        <w:jc w:val="both"/>
        <w:ind w:firstLine="708"/>
        <w:spacing w:line="360" w:lineRule="auto"/>
      </w:pPr>
      <w:r>
        <w:rPr>
          <w:rFonts w:ascii="Times New Roman" w:hAnsi="Times New Roman"/>
          <w:sz w:val="28"/>
        </w:rPr>
        <w:t xml:space="preserve">Получение товарной серы создает дополнительный доход. Процесс Клауса производит элементарную серу чистотой 99,5-99,9%, которая может продаваться по цене 8-12 тыс. руб./тонна. При утилизации 4750-4850 тонн H₂S в год получается около 4700-4800 тонн серы, что дает выручку 38-58 млн руб./год. SCOT производит 4950-4975 тонн серы (40-60 млн руб./год). Аминовая схема концентрирует H₂S для передачи на установку Клауса, косвенно обеспечивая производство 4900-4950 тонн серы (39-59 млн руб./год).</w:t>
      </w:r>
    </w:p>
    <w:p>
      <w:pPr>
        <w:jc w:val="both"/>
        <w:ind w:firstLine="708"/>
        <w:spacing w:line="360" w:lineRule="auto"/>
      </w:pPr>
      <w:r>
        <w:rPr>
          <w:rFonts w:ascii="Times New Roman" w:hAnsi="Times New Roman"/>
          <w:sz w:val="28"/>
        </w:rPr>
        <w:t xml:space="preserve">Предотвращение штрафных санкций имеет существенное значение. За систематическое превышение нормативов выбросов предприятию грозят штрафы до 250 тыс. рублей для должностных лиц и до 100 млн рублей для юридического лица, а также приостановка деятельности. Реконструкция устраняет эти риски, что можно оценить как условную экономию 10-50 млн руб./год в зависимости от вероятности применения санкций.</w:t>
      </w:r>
    </w:p>
    <w:p>
      <w:pPr>
        <w:jc w:val="both"/>
        <w:ind w:firstLine="708"/>
        <w:spacing w:line="360" w:lineRule="auto"/>
      </w:pPr>
      <w:r>
        <w:rPr>
          <w:rFonts w:ascii="Times New Roman" w:hAnsi="Times New Roman"/>
          <w:sz w:val="28"/>
        </w:rPr>
        <w:t xml:space="preserve">Улучшение экологического имиджа способствует получению инвестиционных кредитов на льготных условиях, участию в «зеленых» проектах, повышению стоимости акций компании. Этот эффект сложно оценить количественно, но он может составлять 5-15 млн руб./год в эквиваленте снижения стоимости заимствований и роста капитализации.</w:t>
      </w:r>
    </w:p>
    <w:p>
      <w:pPr>
        <w:jc w:val="both"/>
        <w:ind w:firstLine="708"/>
        <w:spacing w:line="360" w:lineRule="auto"/>
      </w:pPr>
      <w:r>
        <w:rPr>
          <w:rFonts w:ascii="Times New Roman" w:hAnsi="Times New Roman"/>
          <w:sz w:val="28"/>
        </w:rPr>
        <w:t xml:space="preserve">Суммарный годовой экономический эффект:</w:t>
      </w:r>
    </w:p>
    <w:p>
      <w:pPr>
        <w:jc w:val="center"/>
        <w:spacing w:after="120"/>
      </w:pPr>
      <w:r>
        <w:rPr>
          <w:rFonts w:ascii="Times New Roman" w:hAnsi="Times New Roman"/>
          <w:sz w:val="24"/>
          <w:b/>
        </w:rPr>
        <w:t>Таблица 16. Годовой экономический эффект от реконструкции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Источник эффекта</w:t>
            </w:r>
          </w:p>
        </w:tc>
        <w:tc>
          <w:tcPr>
            <w:vAlign w:val="center"/>
          </w:tcPr>
          <w:p>
            <w:pPr>
              <w:jc w:val="center"/>
            </w:pPr>
            <w:r>
              <w:rPr>
                <w:rFonts w:ascii="Times New Roman"/>
                <w:sz w:val="24"/>
                <w:b/>
              </w:rPr>
              <w:t>Claus (млн руб./год)</w:t>
            </w:r>
          </w:p>
        </w:tc>
        <w:tc>
          <w:tcPr>
            <w:vAlign w:val="center"/>
          </w:tcPr>
          <w:p>
            <w:pPr>
              <w:jc w:val="center"/>
            </w:pPr>
            <w:r>
              <w:rPr>
                <w:rFonts w:ascii="Times New Roman"/>
                <w:sz w:val="24"/>
                <w:b/>
              </w:rPr>
              <w:t>SCOT (млн руб./год)</w:t>
            </w:r>
          </w:p>
        </w:tc>
        <w:tc>
          <w:tcPr>
            <w:vAlign w:val="center"/>
          </w:tcPr>
          <w:p>
            <w:pPr>
              <w:jc w:val="center"/>
            </w:pPr>
            <w:r>
              <w:rPr>
                <w:rFonts w:ascii="Times New Roman"/>
                <w:sz w:val="24"/>
                <w:b/>
              </w:rPr>
              <w:t>Аминовая (млн руб./год)</w:t>
            </w:r>
          </w:p>
        </w:tc>
      </w:tr>
      <w:tr>
        <w:tc>
          <w:tcPr>
            <w:vAlign w:val="center"/>
          </w:tcPr>
          <w:p>
            <w:pPr>
              <w:jc w:val="center"/>
            </w:pPr>
            <w:r>
              <w:rPr>
                <w:rFonts w:ascii="Times New Roman"/>
                <w:sz w:val="24"/>
              </w:rPr>
              <w:t>Снижение платежей за выбросы</w:t>
            </w:r>
          </w:p>
        </w:tc>
        <w:tc>
          <w:tcPr>
            <w:vAlign w:val="center"/>
          </w:tcPr>
          <w:p>
            <w:pPr>
              <w:jc w:val="center"/>
            </w:pPr>
            <w:r>
              <w:rPr>
                <w:rFonts w:ascii="Times New Roman"/>
                <w:sz w:val="24"/>
              </w:rPr>
              <w:t>85,7</w:t>
            </w:r>
          </w:p>
        </w:tc>
        <w:tc>
          <w:tcPr>
            <w:vAlign w:val="center"/>
          </w:tcPr>
          <w:p>
            <w:pPr>
              <w:jc w:val="center"/>
            </w:pPr>
            <w:r>
              <w:rPr>
                <w:rFonts w:ascii="Times New Roman"/>
                <w:sz w:val="24"/>
              </w:rPr>
              <w:t>85,8</w:t>
            </w:r>
          </w:p>
        </w:tc>
        <w:tc>
          <w:tcPr>
            <w:vAlign w:val="center"/>
          </w:tcPr>
          <w:p>
            <w:pPr>
              <w:jc w:val="center"/>
            </w:pPr>
            <w:r>
              <w:rPr>
                <w:rFonts w:ascii="Times New Roman"/>
                <w:sz w:val="24"/>
              </w:rPr>
              <w:t>85,8</w:t>
            </w:r>
          </w:p>
        </w:tc>
      </w:tr>
      <w:tr>
        <w:tc>
          <w:tcPr>
            <w:vAlign w:val="center"/>
          </w:tcPr>
          <w:p>
            <w:pPr>
              <w:jc w:val="center"/>
            </w:pPr>
            <w:r>
              <w:rPr>
                <w:rFonts w:ascii="Times New Roman"/>
                <w:sz w:val="24"/>
              </w:rPr>
              <w:t>Реализация серы</w:t>
            </w:r>
          </w:p>
        </w:tc>
        <w:tc>
          <w:tcPr>
            <w:vAlign w:val="center"/>
          </w:tcPr>
          <w:p>
            <w:pPr>
              <w:jc w:val="center"/>
            </w:pPr>
            <w:r>
              <w:rPr>
                <w:rFonts w:ascii="Times New Roman"/>
                <w:sz w:val="24"/>
              </w:rPr>
              <w:t>48</w:t>
            </w:r>
          </w:p>
        </w:tc>
        <w:tc>
          <w:tcPr>
            <w:vAlign w:val="center"/>
          </w:tcPr>
          <w:p>
            <w:pPr>
              <w:jc w:val="center"/>
            </w:pPr>
            <w:r>
              <w:rPr>
                <w:rFonts w:ascii="Times New Roman"/>
                <w:sz w:val="24"/>
              </w:rPr>
              <w:t>50</w:t>
            </w:r>
          </w:p>
        </w:tc>
        <w:tc>
          <w:tcPr>
            <w:vAlign w:val="center"/>
          </w:tcPr>
          <w:p>
            <w:pPr>
              <w:jc w:val="center"/>
            </w:pPr>
            <w:r>
              <w:rPr>
                <w:rFonts w:ascii="Times New Roman"/>
                <w:sz w:val="24"/>
              </w:rPr>
              <w:t>49</w:t>
            </w:r>
          </w:p>
        </w:tc>
      </w:tr>
      <w:tr>
        <w:tc>
          <w:tcPr>
            <w:vAlign w:val="center"/>
          </w:tcPr>
          <w:p>
            <w:pPr>
              <w:jc w:val="center"/>
            </w:pPr>
            <w:r>
              <w:rPr>
                <w:rFonts w:ascii="Times New Roman"/>
                <w:sz w:val="24"/>
              </w:rPr>
              <w:t>Предотвращение штрафов</w:t>
            </w:r>
          </w:p>
        </w:tc>
        <w:tc>
          <w:tcPr>
            <w:vAlign w:val="center"/>
          </w:tcPr>
          <w:p>
            <w:pPr>
              <w:jc w:val="center"/>
            </w:pPr>
            <w:r>
              <w:rPr>
                <w:rFonts w:ascii="Times New Roman"/>
                <w:sz w:val="24"/>
              </w:rPr>
              <w:t>30</w:t>
            </w:r>
          </w:p>
        </w:tc>
        <w:tc>
          <w:tcPr>
            <w:vAlign w:val="center"/>
          </w:tcPr>
          <w:p>
            <w:pPr>
              <w:jc w:val="center"/>
            </w:pPr>
            <w:r>
              <w:rPr>
                <w:rFonts w:ascii="Times New Roman"/>
                <w:sz w:val="24"/>
              </w:rPr>
              <w:t>30</w:t>
            </w:r>
          </w:p>
        </w:tc>
        <w:tc>
          <w:tcPr>
            <w:vAlign w:val="center"/>
          </w:tcPr>
          <w:p>
            <w:pPr>
              <w:jc w:val="center"/>
            </w:pPr>
            <w:r>
              <w:rPr>
                <w:rFonts w:ascii="Times New Roman"/>
                <w:sz w:val="24"/>
              </w:rPr>
              <w:t>30</w:t>
            </w:r>
          </w:p>
        </w:tc>
      </w:tr>
      <w:tr>
        <w:tc>
          <w:tcPr>
            <w:vAlign w:val="center"/>
          </w:tcPr>
          <w:p>
            <w:pPr>
              <w:jc w:val="center"/>
            </w:pPr>
            <w:r>
              <w:rPr>
                <w:rFonts w:ascii="Times New Roman"/>
                <w:sz w:val="24"/>
              </w:rPr>
              <w:t>Улучшение имиджа</w:t>
            </w:r>
          </w:p>
        </w:tc>
        <w:tc>
          <w:tcPr>
            <w:vAlign w:val="center"/>
          </w:tcPr>
          <w:p>
            <w:pPr>
              <w:jc w:val="center"/>
            </w:pPr>
            <w:r>
              <w:rPr>
                <w:rFonts w:ascii="Times New Roman"/>
                <w:sz w:val="24"/>
              </w:rPr>
              <w:t>10</w:t>
            </w:r>
          </w:p>
        </w:tc>
        <w:tc>
          <w:tcPr>
            <w:vAlign w:val="center"/>
          </w:tcPr>
          <w:p>
            <w:pPr>
              <w:jc w:val="center"/>
            </w:pPr>
            <w:r>
              <w:rPr>
                <w:rFonts w:ascii="Times New Roman"/>
                <w:sz w:val="24"/>
              </w:rPr>
              <w:t>10</w:t>
            </w:r>
          </w:p>
        </w:tc>
        <w:tc>
          <w:tcPr>
            <w:vAlign w:val="center"/>
          </w:tcPr>
          <w:p>
            <w:pPr>
              <w:jc w:val="center"/>
            </w:pPr>
            <w:r>
              <w:rPr>
                <w:rFonts w:ascii="Times New Roman"/>
                <w:sz w:val="24"/>
              </w:rPr>
              <w:t>10</w:t>
            </w:r>
          </w:p>
        </w:tc>
      </w:tr>
      <w:tr>
        <w:tc>
          <w:tcPr>
            <w:vAlign w:val="center"/>
          </w:tcPr>
          <w:p>
            <w:pPr>
              <w:jc w:val="center"/>
            </w:pPr>
            <w:r>
              <w:rPr>
                <w:rFonts w:ascii="Times New Roman"/>
                <w:sz w:val="24"/>
              </w:rPr>
              <w:t>ИТОГО</w:t>
            </w:r>
          </w:p>
        </w:tc>
        <w:tc>
          <w:tcPr>
            <w:vAlign w:val="center"/>
          </w:tcPr>
          <w:p>
            <w:pPr>
              <w:jc w:val="center"/>
            </w:pPr>
            <w:r>
              <w:rPr>
                <w:rFonts w:ascii="Times New Roman"/>
                <w:sz w:val="24"/>
              </w:rPr>
              <w:t>173,7</w:t>
            </w:r>
          </w:p>
        </w:tc>
        <w:tc>
          <w:tcPr>
            <w:vAlign w:val="center"/>
          </w:tcPr>
          <w:p>
            <w:pPr>
              <w:jc w:val="center"/>
            </w:pPr>
            <w:r>
              <w:rPr>
                <w:rFonts w:ascii="Times New Roman"/>
                <w:sz w:val="24"/>
              </w:rPr>
              <w:t>175,8</w:t>
            </w:r>
          </w:p>
        </w:tc>
        <w:tc>
          <w:tcPr>
            <w:vAlign w:val="center"/>
          </w:tcPr>
          <w:p>
            <w:pPr>
              <w:jc w:val="center"/>
            </w:pPr>
            <w:r>
              <w:rPr>
                <w:rFonts w:ascii="Times New Roman"/>
                <w:sz w:val="24"/>
              </w:rPr>
              <w:t>174,8</w:t>
            </w:r>
          </w:p>
        </w:tc>
      </w:tr>
    </w:tbl>
    <w:p>
      <w:r>
        <w:t/>
      </w:r>
    </w:p>
    <w:p>
      <w:pPr>
        <w:pStyle w:val="Heading2"/>
        <w:spacing w:before="240" w:after="120"/>
      </w:pPr>
      <w:r>
        <w:rPr>
          <w:rFonts w:ascii="Times New Roman" w:hAnsi="Times New Roman"/>
          <w:b/>
          <w:sz w:val="28"/>
        </w:rPr>
        <w:t xml:space="preserve">Расчет срока окупаемости проекта</w:t>
      </w:r>
    </w:p>
    <w:p>
      <w:pPr>
        <w:jc w:val="both"/>
        <w:ind w:firstLine="708"/>
        <w:spacing w:line="360" w:lineRule="auto"/>
      </w:pPr>
      <w:r>
        <w:rPr>
          <w:rFonts w:ascii="Times New Roman" w:hAnsi="Times New Roman"/>
          <w:sz w:val="28"/>
        </w:rPr>
        <w:t xml:space="preserve">Срок окупаемости инвестиций является ключевым показателем для принятия решения о реализации проекта реконструкции. Расчет проводится с использованием простого и дисконтированного методов для получения комплексной оценки эффективности капиталовложений.</w:t>
      </w:r>
    </w:p>
    <w:p>
      <w:pPr>
        <w:jc w:val="both"/>
        <w:ind w:firstLine="708"/>
        <w:spacing w:line="360" w:lineRule="auto"/>
      </w:pPr>
      <w:r>
        <w:rPr>
          <w:rFonts w:ascii="Times New Roman" w:hAnsi="Times New Roman"/>
          <w:sz w:val="28"/>
        </w:rPr>
        <w:t xml:space="preserve">Простой срок окупаемости (PP) определяется как отношение капитальных затрат к чистому годовому денежному потоку. Чистый денежный поток рассчитывается как разница между экономическим эффектом и эксплуатационными затратами. Для процесса Клауса: чистый поток = 173,7 – 74 = 99,7 млн руб./год, простой срок окупаемости PP = 381 / 99,7 = 3,8 года. Для SCOT: чистый поток = 175,8 – 101 = 74,8 млн руб./год, PP = 558 / 74,8 = 7,5 года. Для аминовой схемы: чистый поток = 174,8 – 84 = 90,8 млн руб./год, PP = 310 / 90,8 = 3,4 года.</w:t>
      </w:r>
    </w:p>
    <w:p>
      <w:pPr>
        <w:jc w:val="both"/>
        <w:ind w:firstLine="708"/>
        <w:spacing w:line="360" w:lineRule="auto"/>
      </w:pPr>
      <w:r>
        <w:rPr>
          <w:rFonts w:ascii="Times New Roman" w:hAnsi="Times New Roman"/>
          <w:sz w:val="28"/>
        </w:rPr>
        <w:t xml:space="preserve">Дисконтированный срок окупаемости (DPP) учитывает изменение стоимости денег во времени. Ставка дисконтирования принимается равной 12% годовых, что соответствует средневзвешенной стоимости капитала для нефтегазовых проектов в текущих экономических условиях. Расчет проводится путем последовательного суммирования дисконтированных денежных потоков до момента, когда накопленная величина превысит начальные инвестиции.</w:t>
      </w:r>
    </w:p>
    <w:p>
      <w:pPr>
        <w:jc w:val="both"/>
        <w:ind w:firstLine="708"/>
        <w:spacing w:line="360" w:lineRule="auto"/>
      </w:pPr>
      <w:r>
        <w:rPr>
          <w:rFonts w:ascii="Times New Roman" w:hAnsi="Times New Roman"/>
          <w:sz w:val="28"/>
        </w:rPr>
        <w:t xml:space="preserve">Для процесса Клауса дисконтированные потоки составляют: 1-й год – 89,0 млн руб., 2-й год – 79,5 млн руб., 3-й год – 71,0 млн руб., 4-й год – 63,4 млн руб., 5-й год – 56,6 млн руб. Накопленный дисконтированный поток достигает 381 млн руб. между 4-м и 5-м годом, DPP ≈ 4,7 года.</w:t>
      </w:r>
    </w:p>
    <w:p>
      <w:pPr>
        <w:jc w:val="both"/>
        <w:ind w:firstLine="708"/>
        <w:spacing w:line="360" w:lineRule="auto"/>
      </w:pPr>
      <w:r>
        <w:rPr>
          <w:rFonts w:ascii="Times New Roman" w:hAnsi="Times New Roman"/>
          <w:sz w:val="28"/>
        </w:rPr>
        <w:t xml:space="preserve">Для SCOT: дисконтированные потоки 1-5 годы составляют 66,8; 59,6; 53,2; 47,5; 42,4 млн руб. соответственно. Накопленная величина к концу 5-го года – 269,5 млн руб., что не покрывает инвестиции. Требуется продолжить расчет: 6-й год – 37,9 млн руб., 7-й год – 33,8 млн руб., 8-й год – 30,2 млн руб., 9-й год – 27,0 млн руб. Накопленный поток достигает 558 млн руб. между 9-м и 10-м годом, DPP ≈ 9,2 года.</w:t>
      </w:r>
    </w:p>
    <w:p>
      <w:pPr>
        <w:jc w:val="both"/>
        <w:ind w:firstLine="708"/>
        <w:spacing w:line="360" w:lineRule="auto"/>
      </w:pPr>
      <w:r>
        <w:rPr>
          <w:rFonts w:ascii="Times New Roman" w:hAnsi="Times New Roman"/>
          <w:sz w:val="28"/>
        </w:rPr>
        <w:t xml:space="preserve">Для аминовой схемы: дисконтированные потоки 1-5 годы составляют 81,1; 72,4; 64,7; 57,8; 51,6 млн руб. Накопленный поток к концу 4-го года – 275,9 млн руб., к концу 5-го года – 327,5 млн руб. Инвестиции окупаются в течение 5-го года, DPP ≈ 4,2 года.</w:t>
      </w:r>
    </w:p>
    <w:p>
      <w:pPr>
        <w:jc w:val="both"/>
        <w:ind w:firstLine="708"/>
        <w:spacing w:line="360" w:lineRule="auto"/>
      </w:pPr>
      <w:r>
        <w:rPr>
          <w:rFonts w:ascii="Times New Roman" w:hAnsi="Times New Roman"/>
          <w:sz w:val="28"/>
        </w:rPr>
        <w:t xml:space="preserve">Чистая приведенная стоимость (NPV) за 10-летний период эксплуатации показывает общую эффективность проекта. Для Клауса NPV₁₀ = 181 млн руб., для SCOT NPV₁₀ = –135 млн руб., для аминовой схемы NPV₁₀ = 203 млн руб. Внутренняя норма доходности (IRR) составляет: Клаус – 24%, SCOT – 8%, аминовая – 27%.</w:t>
      </w:r>
    </w:p>
    <w:p>
      <w:pPr>
        <w:jc w:val="both"/>
        <w:ind w:firstLine="708"/>
        <w:spacing w:line="360" w:lineRule="auto"/>
      </w:pPr>
      <w:r>
        <w:rPr>
          <w:rFonts w:ascii="Times New Roman" w:hAnsi="Times New Roman"/>
          <w:sz w:val="28"/>
        </w:rPr>
        <w:t xml:space="preserve">Сравнительная таблица показателей эффективности:</w:t>
      </w:r>
    </w:p>
    <w:p>
      <w:pPr>
        <w:jc w:val="center"/>
        <w:spacing w:after="120"/>
      </w:pPr>
      <w:r>
        <w:rPr>
          <w:rFonts w:ascii="Times New Roman" w:hAnsi="Times New Roman"/>
          <w:sz w:val="24"/>
          <w:b/>
        </w:rPr>
        <w:t>Таблица 17. Показатели экономической эффективности проектов реконструкции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Показатель</w:t>
            </w:r>
          </w:p>
        </w:tc>
        <w:tc>
          <w:tcPr>
            <w:vAlign w:val="center"/>
          </w:tcPr>
          <w:p>
            <w:pPr>
              <w:jc w:val="center"/>
            </w:pPr>
            <w:r>
              <w:rPr>
                <w:rFonts w:ascii="Times New Roman"/>
                <w:sz w:val="24"/>
                <w:b/>
              </w:rPr>
              <w:t>Claus</w:t>
            </w:r>
          </w:p>
        </w:tc>
        <w:tc>
          <w:tcPr>
            <w:vAlign w:val="center"/>
          </w:tcPr>
          <w:p>
            <w:pPr>
              <w:jc w:val="center"/>
            </w:pPr>
            <w:r>
              <w:rPr>
                <w:rFonts w:ascii="Times New Roman"/>
                <w:sz w:val="24"/>
                <w:b/>
              </w:rPr>
              <w:t>SCOT</w:t>
            </w:r>
          </w:p>
        </w:tc>
        <w:tc>
          <w:tcPr>
            <w:vAlign w:val="center"/>
          </w:tcPr>
          <w:p>
            <w:pPr>
              <w:jc w:val="center"/>
            </w:pPr>
            <w:r>
              <w:rPr>
                <w:rFonts w:ascii="Times New Roman"/>
                <w:sz w:val="24"/>
                <w:b/>
              </w:rPr>
              <w:t>Аминовая</w:t>
            </w:r>
          </w:p>
        </w:tc>
      </w:tr>
      <w:tr>
        <w:tc>
          <w:tcPr>
            <w:vAlign w:val="center"/>
          </w:tcPr>
          <w:p>
            <w:pPr>
              <w:jc w:val="center"/>
            </w:pPr>
            <w:r>
              <w:rPr>
                <w:rFonts w:ascii="Times New Roman"/>
                <w:sz w:val="24"/>
              </w:rPr>
              <w:t>Капитальные затраты, млн руб.</w:t>
            </w:r>
          </w:p>
        </w:tc>
        <w:tc>
          <w:tcPr>
            <w:vAlign w:val="center"/>
          </w:tcPr>
          <w:p>
            <w:pPr>
              <w:jc w:val="center"/>
            </w:pPr>
            <w:r>
              <w:rPr>
                <w:rFonts w:ascii="Times New Roman"/>
                <w:sz w:val="24"/>
              </w:rPr>
              <w:t>381</w:t>
            </w:r>
          </w:p>
        </w:tc>
        <w:tc>
          <w:tcPr>
            <w:vAlign w:val="center"/>
          </w:tcPr>
          <w:p>
            <w:pPr>
              <w:jc w:val="center"/>
            </w:pPr>
            <w:r>
              <w:rPr>
                <w:rFonts w:ascii="Times New Roman"/>
                <w:sz w:val="24"/>
              </w:rPr>
              <w:t>558</w:t>
            </w:r>
          </w:p>
        </w:tc>
        <w:tc>
          <w:tcPr>
            <w:vAlign w:val="center"/>
          </w:tcPr>
          <w:p>
            <w:pPr>
              <w:jc w:val="center"/>
            </w:pPr>
            <w:r>
              <w:rPr>
                <w:rFonts w:ascii="Times New Roman"/>
                <w:sz w:val="24"/>
              </w:rPr>
              <w:t>310</w:t>
            </w:r>
          </w:p>
        </w:tc>
      </w:tr>
      <w:tr>
        <w:tc>
          <w:tcPr>
            <w:vAlign w:val="center"/>
          </w:tcPr>
          <w:p>
            <w:pPr>
              <w:jc w:val="center"/>
            </w:pPr>
            <w:r>
              <w:rPr>
                <w:rFonts w:ascii="Times New Roman"/>
                <w:sz w:val="24"/>
              </w:rPr>
              <w:t>Годовые эксплуатационные затраты, млн руб.</w:t>
            </w:r>
          </w:p>
        </w:tc>
        <w:tc>
          <w:tcPr>
            <w:vAlign w:val="center"/>
          </w:tcPr>
          <w:p>
            <w:pPr>
              <w:jc w:val="center"/>
            </w:pPr>
            <w:r>
              <w:rPr>
                <w:rFonts w:ascii="Times New Roman"/>
                <w:sz w:val="24"/>
              </w:rPr>
              <w:t>74</w:t>
            </w:r>
          </w:p>
        </w:tc>
        <w:tc>
          <w:tcPr>
            <w:vAlign w:val="center"/>
          </w:tcPr>
          <w:p>
            <w:pPr>
              <w:jc w:val="center"/>
            </w:pPr>
            <w:r>
              <w:rPr>
                <w:rFonts w:ascii="Times New Roman"/>
                <w:sz w:val="24"/>
              </w:rPr>
              <w:t>101</w:t>
            </w:r>
          </w:p>
        </w:tc>
        <w:tc>
          <w:tcPr>
            <w:vAlign w:val="center"/>
          </w:tcPr>
          <w:p>
            <w:pPr>
              <w:jc w:val="center"/>
            </w:pPr>
            <w:r>
              <w:rPr>
                <w:rFonts w:ascii="Times New Roman"/>
                <w:sz w:val="24"/>
              </w:rPr>
              <w:t>84</w:t>
            </w:r>
          </w:p>
        </w:tc>
      </w:tr>
      <w:tr>
        <w:tc>
          <w:tcPr>
            <w:vAlign w:val="center"/>
          </w:tcPr>
          <w:p>
            <w:pPr>
              <w:jc w:val="center"/>
            </w:pPr>
            <w:r>
              <w:rPr>
                <w:rFonts w:ascii="Times New Roman"/>
                <w:sz w:val="24"/>
              </w:rPr>
              <w:t>Годовой экономический эффект, млн руб.</w:t>
            </w:r>
          </w:p>
        </w:tc>
        <w:tc>
          <w:tcPr>
            <w:vAlign w:val="center"/>
          </w:tcPr>
          <w:p>
            <w:pPr>
              <w:jc w:val="center"/>
            </w:pPr>
            <w:r>
              <w:rPr>
                <w:rFonts w:ascii="Times New Roman"/>
                <w:sz w:val="24"/>
              </w:rPr>
              <w:t>173,7</w:t>
            </w:r>
          </w:p>
        </w:tc>
        <w:tc>
          <w:tcPr>
            <w:vAlign w:val="center"/>
          </w:tcPr>
          <w:p>
            <w:pPr>
              <w:jc w:val="center"/>
            </w:pPr>
            <w:r>
              <w:rPr>
                <w:rFonts w:ascii="Times New Roman"/>
                <w:sz w:val="24"/>
              </w:rPr>
              <w:t>175,8</w:t>
            </w:r>
          </w:p>
        </w:tc>
        <w:tc>
          <w:tcPr>
            <w:vAlign w:val="center"/>
          </w:tcPr>
          <w:p>
            <w:pPr>
              <w:jc w:val="center"/>
            </w:pPr>
            <w:r>
              <w:rPr>
                <w:rFonts w:ascii="Times New Roman"/>
                <w:sz w:val="24"/>
              </w:rPr>
              <w:t>174,8</w:t>
            </w:r>
          </w:p>
        </w:tc>
      </w:tr>
      <w:tr>
        <w:tc>
          <w:tcPr>
            <w:vAlign w:val="center"/>
          </w:tcPr>
          <w:p>
            <w:pPr>
              <w:jc w:val="center"/>
            </w:pPr>
            <w:r>
              <w:rPr>
                <w:rFonts w:ascii="Times New Roman"/>
                <w:sz w:val="24"/>
              </w:rPr>
              <w:t>Чистый годовой поток, млн руб.</w:t>
            </w:r>
          </w:p>
        </w:tc>
        <w:tc>
          <w:tcPr>
            <w:vAlign w:val="center"/>
          </w:tcPr>
          <w:p>
            <w:pPr>
              <w:jc w:val="center"/>
            </w:pPr>
            <w:r>
              <w:rPr>
                <w:rFonts w:ascii="Times New Roman"/>
                <w:sz w:val="24"/>
              </w:rPr>
              <w:t>99,7</w:t>
            </w:r>
          </w:p>
        </w:tc>
        <w:tc>
          <w:tcPr>
            <w:vAlign w:val="center"/>
          </w:tcPr>
          <w:p>
            <w:pPr>
              <w:jc w:val="center"/>
            </w:pPr>
            <w:r>
              <w:rPr>
                <w:rFonts w:ascii="Times New Roman"/>
                <w:sz w:val="24"/>
              </w:rPr>
              <w:t>74,8</w:t>
            </w:r>
          </w:p>
        </w:tc>
        <w:tc>
          <w:tcPr>
            <w:vAlign w:val="center"/>
          </w:tcPr>
          <w:p>
            <w:pPr>
              <w:jc w:val="center"/>
            </w:pPr>
            <w:r>
              <w:rPr>
                <w:rFonts w:ascii="Times New Roman"/>
                <w:sz w:val="24"/>
              </w:rPr>
              <w:t>90,8</w:t>
            </w:r>
          </w:p>
        </w:tc>
      </w:tr>
      <w:tr>
        <w:tc>
          <w:tcPr>
            <w:vAlign w:val="center"/>
          </w:tcPr>
          <w:p>
            <w:pPr>
              <w:jc w:val="center"/>
            </w:pPr>
            <w:r>
              <w:rPr>
                <w:rFonts w:ascii="Times New Roman"/>
                <w:sz w:val="24"/>
              </w:rPr>
              <w:t>Простой срок окупаемости, лет</w:t>
            </w:r>
          </w:p>
        </w:tc>
        <w:tc>
          <w:tcPr>
            <w:vAlign w:val="center"/>
          </w:tcPr>
          <w:p>
            <w:pPr>
              <w:jc w:val="center"/>
            </w:pPr>
            <w:r>
              <w:rPr>
                <w:rFonts w:ascii="Times New Roman"/>
                <w:sz w:val="24"/>
              </w:rPr>
              <w:t>3,8</w:t>
            </w:r>
          </w:p>
        </w:tc>
        <w:tc>
          <w:tcPr>
            <w:vAlign w:val="center"/>
          </w:tcPr>
          <w:p>
            <w:pPr>
              <w:jc w:val="center"/>
            </w:pPr>
            <w:r>
              <w:rPr>
                <w:rFonts w:ascii="Times New Roman"/>
                <w:sz w:val="24"/>
              </w:rPr>
              <w:t>7,5</w:t>
            </w:r>
          </w:p>
        </w:tc>
        <w:tc>
          <w:tcPr>
            <w:vAlign w:val="center"/>
          </w:tcPr>
          <w:p>
            <w:pPr>
              <w:jc w:val="center"/>
            </w:pPr>
            <w:r>
              <w:rPr>
                <w:rFonts w:ascii="Times New Roman"/>
                <w:sz w:val="24"/>
              </w:rPr>
              <w:t>3,4</w:t>
            </w:r>
          </w:p>
        </w:tc>
      </w:tr>
      <w:tr>
        <w:tc>
          <w:tcPr>
            <w:vAlign w:val="center"/>
          </w:tcPr>
          <w:p>
            <w:pPr>
              <w:jc w:val="center"/>
            </w:pPr>
            <w:r>
              <w:rPr>
                <w:rFonts w:ascii="Times New Roman"/>
                <w:sz w:val="24"/>
              </w:rPr>
              <w:t>Дисконтированный срок окупаемости, лет</w:t>
            </w:r>
          </w:p>
        </w:tc>
        <w:tc>
          <w:tcPr>
            <w:vAlign w:val="center"/>
          </w:tcPr>
          <w:p>
            <w:pPr>
              <w:jc w:val="center"/>
            </w:pPr>
            <w:r>
              <w:rPr>
                <w:rFonts w:ascii="Times New Roman"/>
                <w:sz w:val="24"/>
              </w:rPr>
              <w:t>4,7</w:t>
            </w:r>
          </w:p>
        </w:tc>
        <w:tc>
          <w:tcPr>
            <w:vAlign w:val="center"/>
          </w:tcPr>
          <w:p>
            <w:pPr>
              <w:jc w:val="center"/>
            </w:pPr>
            <w:r>
              <w:rPr>
                <w:rFonts w:ascii="Times New Roman"/>
                <w:sz w:val="24"/>
              </w:rPr>
              <w:t>9,2</w:t>
            </w:r>
          </w:p>
        </w:tc>
        <w:tc>
          <w:tcPr>
            <w:vAlign w:val="center"/>
          </w:tcPr>
          <w:p>
            <w:pPr>
              <w:jc w:val="center"/>
            </w:pPr>
            <w:r>
              <w:rPr>
                <w:rFonts w:ascii="Times New Roman"/>
                <w:sz w:val="24"/>
              </w:rPr>
              <w:t>4,2</w:t>
            </w:r>
          </w:p>
        </w:tc>
      </w:tr>
      <w:tr>
        <w:tc>
          <w:tcPr>
            <w:vAlign w:val="center"/>
          </w:tcPr>
          <w:p>
            <w:pPr>
              <w:jc w:val="center"/>
            </w:pPr>
            <w:r>
              <w:rPr>
                <w:rFonts w:ascii="Times New Roman"/>
                <w:sz w:val="24"/>
              </w:rPr>
              <w:t>NPV (10 лет), млн руб.</w:t>
            </w:r>
          </w:p>
        </w:tc>
        <w:tc>
          <w:tcPr>
            <w:vAlign w:val="center"/>
          </w:tcPr>
          <w:p>
            <w:pPr>
              <w:jc w:val="center"/>
            </w:pPr>
            <w:r>
              <w:rPr>
                <w:rFonts w:ascii="Times New Roman"/>
                <w:sz w:val="24"/>
              </w:rPr>
              <w:t>181</w:t>
            </w:r>
          </w:p>
        </w:tc>
        <w:tc>
          <w:tcPr>
            <w:vAlign w:val="center"/>
          </w:tcPr>
          <w:p>
            <w:pPr>
              <w:jc w:val="center"/>
            </w:pPr>
            <w:r>
              <w:rPr>
                <w:rFonts w:ascii="Times New Roman"/>
                <w:sz w:val="24"/>
              </w:rPr>
              <w:t>–135</w:t>
            </w:r>
          </w:p>
        </w:tc>
        <w:tc>
          <w:tcPr>
            <w:vAlign w:val="center"/>
          </w:tcPr>
          <w:p>
            <w:pPr>
              <w:jc w:val="center"/>
            </w:pPr>
            <w:r>
              <w:rPr>
                <w:rFonts w:ascii="Times New Roman"/>
                <w:sz w:val="24"/>
              </w:rPr>
              <w:t>203</w:t>
            </w:r>
          </w:p>
        </w:tc>
      </w:tr>
      <w:tr>
        <w:tc>
          <w:tcPr>
            <w:vAlign w:val="center"/>
          </w:tcPr>
          <w:p>
            <w:pPr>
              <w:jc w:val="center"/>
            </w:pPr>
            <w:r>
              <w:rPr>
                <w:rFonts w:ascii="Times New Roman"/>
                <w:sz w:val="24"/>
              </w:rPr>
              <w:t>IRR, %</w:t>
            </w:r>
          </w:p>
        </w:tc>
        <w:tc>
          <w:tcPr>
            <w:vAlign w:val="center"/>
          </w:tcPr>
          <w:p>
            <w:pPr>
              <w:jc w:val="center"/>
            </w:pPr>
            <w:r>
              <w:rPr>
                <w:rFonts w:ascii="Times New Roman"/>
                <w:sz w:val="24"/>
              </w:rPr>
              <w:t>24</w:t>
            </w:r>
          </w:p>
        </w:tc>
        <w:tc>
          <w:tcPr>
            <w:vAlign w:val="center"/>
          </w:tcPr>
          <w:p>
            <w:pPr>
              <w:jc w:val="center"/>
            </w:pPr>
            <w:r>
              <w:rPr>
                <w:rFonts w:ascii="Times New Roman"/>
                <w:sz w:val="24"/>
              </w:rPr>
              <w:t>8</w:t>
            </w:r>
          </w:p>
        </w:tc>
        <w:tc>
          <w:tcPr>
            <w:vAlign w:val="center"/>
          </w:tcPr>
          <w:p>
            <w:pPr>
              <w:jc w:val="center"/>
            </w:pPr>
            <w:r>
              <w:rPr>
                <w:rFonts w:ascii="Times New Roman"/>
                <w:sz w:val="24"/>
              </w:rPr>
              <w:t>27</w:t>
            </w:r>
          </w:p>
        </w:tc>
      </w:tr>
    </w:tbl>
    <w:p>
      <w:r>
        <w:t/>
      </w:r>
    </w:p>
    <w:p>
      <w:pPr>
        <w:jc w:val="both"/>
        <w:ind w:firstLine="708"/>
        <w:spacing w:line="360" w:lineRule="auto"/>
      </w:pPr>
      <w:r>
        <w:rPr>
          <w:rFonts w:ascii="Times New Roman" w:hAnsi="Times New Roman"/>
          <w:sz w:val="28"/>
        </w:rPr>
        <w:t xml:space="preserve">Анализ показателей эффективности демонстрирует, что наиболее привлекательным с экономической точки зрения является проект реконструкции с применением аминовой схемы очистки, обеспечивающий минимальный срок окупаемости 4,2 года, максимальную чистую приведенную стоимость 203 млн руб. и внутреннюю норму доходности 27%. Процесс Клауса также показывает хорошие экономические характеристики с периодом окупаемости 4,7 года и положительным NPV. Схема SCOT, несмотря на максимальную степень очистки газа, характеризуется высокими капитальными и эксплуатационными затратами, что приводит к длительному сроку окупаемости 9,2 года и отрицательному NPV, делая её экономически нецелесообразной для данного проекта. Окончательный выбор технологии должен учитывать не только экономические показатели, но и экологические требования, технические возможности интеграции с существующими мощностями и стратегические цели предприятия в области устойчивого развития.</w:t>
      </w:r>
    </w:p>
    <w:p>
      <w:r>
        <w:t/>
      </w:r>
    </w:p>
    <w:p>
      <w:pPr>
        <w:pStyle w:val="Heading1"/>
        <w:jc w:val="center"/>
        <w:spacing w:before="240" w:after="240"/>
      </w:pPr>
      <w:r>
        <w:rPr>
          <w:rFonts w:ascii="Times New Roman" w:hAnsi="Times New Roman"/>
          <w:b/>
          <w:sz w:val="28"/>
        </w:rPr>
        <w:t xml:space="preserve">БЕЗОПАСНОСТЬ И ЭКОЛОГИЧНОСТЬ ПРОЕКТА</w:t>
      </w:r>
    </w:p>
    <w:p>
      <w:pPr>
        <w:jc w:val="both"/>
        <w:ind w:firstLine="708"/>
        <w:spacing w:line="360" w:lineRule="auto"/>
      </w:pPr>
      <w:r>
        <w:rPr>
          <w:rFonts w:ascii="Times New Roman" w:hAnsi="Times New Roman"/>
          <w:sz w:val="28"/>
        </w:rPr>
        <w:t xml:space="preserve">Реконструкция узла нейтрализации и утилизации сероводорода на промышленной установке представляет собой комплексный проект, требующий особого внимания к вопросам безопасности персонала и охраны окружающей среды. Сероводород относится к чрезвычайно опасным веществам, способным при неконтролируемом выбросе причинить значительный ущерб здоровью людей и экосистемам. В связи с этим при проектировании и эксплуатации установок переработки сероводородсодержащих газов необходимо предусмотреть систему мер, направленных на минимизацию профессиональных рисков и экологического воздействия. Выбор технологической схемы (Claus, SCOT или аминовой очистки) непосредственно влияет на характер и степень опасных факторов, присутствующих на производстве, а также на объемы и состав выбросов в атмосферу.</w:t>
      </w:r>
    </w:p>
    <w:p>
      <w:pPr>
        <w:pStyle w:val="Heading2"/>
        <w:spacing w:before="240" w:after="120"/>
      </w:pPr>
      <w:r>
        <w:rPr>
          <w:rFonts w:ascii="Times New Roman" w:hAnsi="Times New Roman"/>
          <w:b/>
          <w:sz w:val="28"/>
        </w:rPr>
        <w:t xml:space="preserve">Анализ опасных и вредных производственных факторов</w:t>
      </w:r>
    </w:p>
    <w:p>
      <w:pPr>
        <w:jc w:val="both"/>
        <w:ind w:firstLine="708"/>
        <w:spacing w:line="360" w:lineRule="auto"/>
      </w:pPr>
      <w:r>
        <w:rPr>
          <w:rFonts w:ascii="Times New Roman" w:hAnsi="Times New Roman"/>
          <w:sz w:val="28"/>
        </w:rPr>
        <w:t xml:space="preserve">Производственные процессы нейтрализации и утилизации сероводорода характеризуются наличием множественных опасных и вредных факторов, которые могут оказывать негативное воздействие на работающий персонал. Основным опасным фактором является присутствие сероводорода – высокотоксичного газа с предельно допустимой концентрацией в воздухе рабочей зоны 10 мг/м³. Сероводород обладает наркотическим действием, поражает нервную систему и органы дыхания, при концентрациях выше 1000 мг/м³ вызывает мгновенную потерю сознания и летальный исход. Особую опасность представляет способность сероводорода притуплять обоняние при длительном воздействии, что лишает работников естественного механизма обнаружения утечек.</w:t>
      </w:r>
    </w:p>
    <w:p>
      <w:pPr>
        <w:jc w:val="both"/>
        <w:ind w:firstLine="708"/>
        <w:spacing w:line="360" w:lineRule="auto"/>
      </w:pPr>
      <w:r>
        <w:rPr>
          <w:rFonts w:ascii="Times New Roman" w:hAnsi="Times New Roman"/>
          <w:sz w:val="28"/>
        </w:rPr>
        <w:t xml:space="preserve">К химическим опасным факторам также относится присутствие диоксида серы (SO₂), образующегося в процессе Клауса при окислении сероводорода. Диоксид серы является раздражающим газом с ПДК 10 мг/м³, вызывающим поражение слизистых оболочек дыхательных путей и глаз. При использовании аминовой схемы очистки присутствуют алканоламины (моноэтаноламин, диэтаноламин, метилдиэтаноламин), которые при попадании на кожу вызывают химические ожоги, а их пары раздражают дыхательные пути. В технологии SCOT дополнительно используется водород, который создает риск взрыва и пожара при образовании взрывоопасных смесей с воздухом.</w:t>
      </w:r>
    </w:p>
    <w:p>
      <w:pPr>
        <w:jc w:val="both"/>
        <w:ind w:firstLine="708"/>
        <w:spacing w:line="360" w:lineRule="auto"/>
      </w:pPr>
      <w:r>
        <w:rPr>
          <w:rFonts w:ascii="Times New Roman" w:hAnsi="Times New Roman"/>
          <w:sz w:val="28"/>
        </w:rPr>
        <w:t xml:space="preserve">Физические опасные факторы включают повышенную температуру технологических потоков и оборудования. В термической секции установки Клауса температура достигает 1000-1200°C, что создает риск термических ожогов при контакте с горячими поверхностями. Повышенное давление в реакторах и трубопроводах (до 3,5 МПа в системах аминовой очистки) представляет опасность разрушения оборудования с выбросом токсичных веществ. Движущиеся части насосов, компрессоров и вентиляторов создают механическую опасность травмирования персонала.</w:t>
      </w:r>
    </w:p>
    <w:p>
      <w:pPr>
        <w:jc w:val="both"/>
        <w:ind w:firstLine="708"/>
        <w:spacing w:line="360" w:lineRule="auto"/>
      </w:pPr>
      <w:r>
        <w:rPr>
          <w:rFonts w:ascii="Times New Roman" w:hAnsi="Times New Roman"/>
          <w:sz w:val="28"/>
        </w:rPr>
        <w:t xml:space="preserve">Вредные производственные факторы включают повышенный уровень шума от работающего компрессорного и насосного оборудования, который может достигать 85-95 дБА, превышая допустимые нормы. Вибрация от вращающегося оборудования при недостаточной виброизоляции оказывает неблагоприятное воздействие на опорно-двигательный аппарат и сердечно-сосудистую систему. Недостаточная освещенность в помещениях насосных и компрессорных станций создает условия для повышенной утомляемости зрения и увеличивает риск производственного травматизма.</w:t>
      </w:r>
    </w:p>
    <w:p>
      <w:pPr>
        <w:jc w:val="both"/>
        <w:ind w:firstLine="708"/>
        <w:spacing w:line="360" w:lineRule="auto"/>
      </w:pPr>
      <w:r>
        <w:rPr>
          <w:rFonts w:ascii="Times New Roman" w:hAnsi="Times New Roman"/>
          <w:sz w:val="28"/>
        </w:rPr>
        <w:t xml:space="preserve">Пожаровзрывоопасность установки определяется наличием горючих газов (сероводород, водород, углеводороды) и серы, которая в расплавленном состоянии и в виде пыли способна к воспламенению и взрыву. Категория взрывопожарной опасности помещений и наружных установок соответствует категориям А и Б по НПБ 105-03. Источниками зажигания могут служить открытое пламя в печах, искры от электрооборудования, статическое электричество при движении газовых потоков.</w:t>
      </w:r>
    </w:p>
    <w:p>
      <w:pPr>
        <w:pStyle w:val="Heading2"/>
        <w:spacing w:before="240" w:after="120"/>
      </w:pPr>
      <w:r>
        <w:rPr>
          <w:rFonts w:ascii="Times New Roman" w:hAnsi="Times New Roman"/>
          <w:b/>
          <w:sz w:val="28"/>
        </w:rPr>
        <w:t xml:space="preserve">Мероприятия по обеспечению промышленной безопасности</w:t>
      </w:r>
    </w:p>
    <w:p>
      <w:pPr>
        <w:jc w:val="both"/>
        <w:ind w:firstLine="708"/>
        <w:spacing w:line="360" w:lineRule="auto"/>
      </w:pPr>
      <w:r>
        <w:rPr>
          <w:rFonts w:ascii="Times New Roman" w:hAnsi="Times New Roman"/>
          <w:sz w:val="28"/>
        </w:rPr>
        <w:t xml:space="preserve">Обеспечение безопасной эксплуатации узла нейтрализации и утилизации сероводорода требует реализации комплекса организационных и технических мероприятий. Основополагающим принципом является герметизация технологического оборудования и коммуникаций для предотвращения выбросов токсичных веществ в рабочую зону. Все аппараты, трубопроводы и арматура должны соответствовать требованиям к герметичности по ГОСТ 9544-2015, с применением надежных уплотнений фланцевых соединений и сальниковых устройств насосов.</w:t>
      </w:r>
    </w:p>
    <w:p>
      <w:pPr>
        <w:jc w:val="both"/>
        <w:ind w:firstLine="708"/>
        <w:spacing w:line="360" w:lineRule="auto"/>
      </w:pPr>
      <w:r>
        <w:rPr>
          <w:rFonts w:ascii="Times New Roman" w:hAnsi="Times New Roman"/>
          <w:sz w:val="28"/>
        </w:rPr>
        <w:t xml:space="preserve">Системы автоматического контроля и сигнализации играют ключевую роль в предотвращении аварийных ситуаций. На установке предусматривается непрерывный автоматический контроль концентрации сероводорода в воздухе рабочей зоны с помощью стационарных газоанализаторов, установленных в местах возможных утечек. При превышении 30% от ПДК система автоматически включает световую и звуковую сигнализацию, а при достижении порога взрывоопасной концентрации (10% от НКПР) активируется система аварийного останова с отключением оборудования и перекрытием технологических потоков.</w:t>
      </w:r>
    </w:p>
    <w:p>
      <w:pPr>
        <w:jc w:val="both"/>
        <w:ind w:firstLine="708"/>
        <w:spacing w:line="360" w:lineRule="auto"/>
      </w:pPr>
      <w:r>
        <w:rPr>
          <w:rFonts w:ascii="Times New Roman" w:hAnsi="Times New Roman"/>
          <w:sz w:val="28"/>
        </w:rPr>
        <w:t xml:space="preserve">Автоматизированная система управления технологическим процессом (АСУ ТП) обеспечивает контроль и регулирование критических параметров: температуры, давления, расходов, уровней в аппаратах. Система противоаварийной автоматической защиты (ПАЗ) настроена на автоматическое отключение оборудования при отклонении параметров за установленные пределы. Применение блокировок исключает ошибочные действия персонала, например, блокировка запуска насосов при закрытой задвижке на нагнетании или блокировка открытия люков при наличии давления в аппарате.</w:t>
      </w:r>
    </w:p>
    <w:p>
      <w:pPr>
        <w:jc w:val="both"/>
        <w:ind w:firstLine="708"/>
        <w:spacing w:line="360" w:lineRule="auto"/>
      </w:pPr>
      <w:r>
        <w:rPr>
          <w:rFonts w:ascii="Times New Roman" w:hAnsi="Times New Roman"/>
          <w:sz w:val="28"/>
        </w:rPr>
        <w:t xml:space="preserve">Системы вентиляции проектируются с учетом обеспечения кратности воздухообмена не менее 10 объемов в час для помещений категории А. Приточно-вытяжная вентиляция с механическим побуждением работает в круглосуточном режиме, вытяжка организована из нижней зоны помещений, где скапливаются тяжелые газы, включая сероводород. Аварийная вентиляция с повышенной производительностью автоматически включается при срабатывании газоанализаторов.</w:t>
      </w:r>
    </w:p>
    <w:p>
      <w:pPr>
        <w:jc w:val="both"/>
        <w:ind w:firstLine="708"/>
        <w:spacing w:line="360" w:lineRule="auto"/>
      </w:pPr>
      <w:r>
        <w:rPr>
          <w:rFonts w:ascii="Times New Roman" w:hAnsi="Times New Roman"/>
          <w:sz w:val="28"/>
        </w:rPr>
        <w:t xml:space="preserve">Противопожарная защита включает систему автоматического пожаротушения с применением пены, порошка или инертных газов в зависимости от характера защищаемого объекта. Установка оборудуется системой пожарной сигнализации с датчиками пламени и дыма. Технологические блоки разделяются противопожарными стенами и перекрытиями с пределом огнестойкости не менее 2,5 часов. Предусматриваются пути эвакуации персонала с установкой эвакуационных выходов на расстоянии не более 75 метров от любой точки установки.</w:t>
      </w:r>
    </w:p>
    <w:p>
      <w:pPr>
        <w:jc w:val="both"/>
        <w:ind w:firstLine="708"/>
        <w:spacing w:line="360" w:lineRule="auto"/>
      </w:pPr>
      <w:r>
        <w:rPr>
          <w:rFonts w:ascii="Times New Roman" w:hAnsi="Times New Roman"/>
          <w:sz w:val="28"/>
        </w:rPr>
        <w:t xml:space="preserve">Средства индивидуальной защиты (СИЗ) подбираются с учетом специфики опасных факторов. Персонал обеспечивается фильтрующими противогазами марки КД для защиты от сероводорода и диоксида серы, при концентрациях выше 2% используются изолирующие дыхательные аппараты. Для защиты кожи применяются костюмы химической защиты, кислотостойкие перчатки и обувь. Переносные газоанализаторы индивидуального пользования позволяют оперативно контролировать содержание сероводорода в зоне работ.</w:t>
      </w:r>
    </w:p>
    <w:p>
      <w:pPr>
        <w:jc w:val="both"/>
        <w:ind w:firstLine="708"/>
        <w:spacing w:line="360" w:lineRule="auto"/>
      </w:pPr>
      <w:r>
        <w:rPr>
          <w:rFonts w:ascii="Times New Roman" w:hAnsi="Times New Roman"/>
          <w:sz w:val="28"/>
        </w:rPr>
        <w:t xml:space="preserve">Обучение и подготовка персонала включают первичный и периодический инструктажи по охране труда, специальное обучение по промышленной безопасности с аттестацией в Ростехнадзоре для руководителей и специалистов. Проводятся регулярные противоаварийные тренировки с отработкой действий при различных сценариях аварий: утечке сероводорода, пожаре, взрыве. Разработан и актуализируется план локализации и ликвидации аварий (ПЛА) с указанием обязанностей каждого члена аварийной бригады.</w:t>
      </w:r>
    </w:p>
    <w:p>
      <w:pPr>
        <w:pStyle w:val="Heading2"/>
        <w:spacing w:before="240" w:after="120"/>
      </w:pPr>
      <w:r>
        <w:rPr>
          <w:rFonts w:ascii="Times New Roman" w:hAnsi="Times New Roman"/>
          <w:b/>
          <w:sz w:val="28"/>
        </w:rPr>
        <w:t xml:space="preserve">Природоохранные мероприятия</w:t>
      </w:r>
    </w:p>
    <w:p>
      <w:pPr>
        <w:jc w:val="both"/>
        <w:ind w:firstLine="708"/>
        <w:spacing w:line="360" w:lineRule="auto"/>
      </w:pPr>
      <w:r>
        <w:rPr>
          <w:rFonts w:ascii="Times New Roman" w:hAnsi="Times New Roman"/>
          <w:sz w:val="28"/>
        </w:rPr>
        <w:t xml:space="preserve">Охрана атмосферного воздуха является приоритетным направлением природоохранной деятельности при эксплуатации установки утилизации сероводорода. Основным источником выбросов служит хвостовой газ установки Клауса, содержащий остаточные количества сероводорода, диоксида серы и паров серы. Для снижения выбросов серосодержащих соединений применяется дополнительная ступень очистки по технологии SCOT (Super Claus Oxygen Tailgas), которая позволяет снизить концентрацию серосодержащих компонентов в хвостовом газе до уровня менее 250 мг/м³ в пересчете на SO₂, что соответствует степени утилизации серы более 99,5%.</w:t>
      </w:r>
    </w:p>
    <w:p>
      <w:pPr>
        <w:jc w:val="both"/>
        <w:ind w:firstLine="708"/>
        <w:spacing w:line="360" w:lineRule="auto"/>
      </w:pPr>
      <w:r>
        <w:rPr>
          <w:rFonts w:ascii="Times New Roman" w:hAnsi="Times New Roman"/>
          <w:sz w:val="28"/>
        </w:rPr>
        <w:t xml:space="preserve">При выборе аминовой схемы для извлечения сероводорода из газовых потоков предусматривается система регенерации абсорбента с минимизацией выбросов. Кислый газ после десорбции направляется на установку Клауса, а очищенный газ перед выбросом в атмосферу проходит через сепараторы для улавливания капель амина. Содержание сероводорода в очищенном газе не превышает 20 мг/м³, что значительно ниже предельно допустимого выброса (ПДВ) для данного вещества.</w:t>
      </w:r>
    </w:p>
    <w:p>
      <w:pPr>
        <w:jc w:val="both"/>
        <w:ind w:firstLine="708"/>
        <w:spacing w:line="360" w:lineRule="auto"/>
      </w:pPr>
      <w:r>
        <w:rPr>
          <w:rFonts w:ascii="Times New Roman" w:hAnsi="Times New Roman"/>
          <w:sz w:val="28"/>
        </w:rPr>
        <w:t xml:space="preserve">Расчет рассеивания загрязняющих веществ в атмосфере выполняется в соответствии с методикой ОНД-86 с использованием программных комплексов «Эколог» или «Призма». Определяются приземные концентрации загрязняющих веществ на границе санитарно-защитной зоны предприятия и в жилой застройке. Высота дымовой трубы для выброса хвостового газа рассчитывается таким образом, чтобы приземные концентрации не превышали 0,8 ПДК для населенных пунктов. Для установки утилизации сероводорода производительностью 50 т/сут серы требуемая высота трубы составляет 45-60 метров.</w:t>
      </w:r>
    </w:p>
    <w:p>
      <w:pPr>
        <w:jc w:val="both"/>
        <w:ind w:firstLine="708"/>
        <w:spacing w:line="360" w:lineRule="auto"/>
      </w:pPr>
      <w:r>
        <w:rPr>
          <w:rFonts w:ascii="Times New Roman" w:hAnsi="Times New Roman"/>
          <w:sz w:val="28"/>
        </w:rPr>
        <w:t xml:space="preserve">Охрана водных ресурсов обеспечивается системой оборотного водоснабжения, которая минимизирует забор свежей воды и сброс сточных вод. Вода используется для охлаждения технологических потоков в теплообменниках и конденсаторах, после чего направляется в градирни для охлаждения и возвращается в цикл. Продувочная вода из системы оборотного водоснабжения, содержащая повышенные концентрации солей, направляется на локальные очистные сооружения. Кислые стоки, образующиеся при промывке оборудования и содержащие сульфиды, проходят нейтрализацию известковым молоком до pH 6,5-8,5 и окисление гипохлоритом натрия для удаления сульфидов до концентрации менее 1 мг/л.</w:t>
      </w:r>
    </w:p>
    <w:p>
      <w:pPr>
        <w:jc w:val="both"/>
        <w:ind w:firstLine="708"/>
        <w:spacing w:line="360" w:lineRule="auto"/>
      </w:pPr>
      <w:r>
        <w:rPr>
          <w:rFonts w:ascii="Times New Roman" w:hAnsi="Times New Roman"/>
          <w:sz w:val="28"/>
        </w:rPr>
        <w:t xml:space="preserve">Обращение с отходами производства организовано в соответствии с требованиями законодательства об отходах производства и потребления. Основным товарным продуктом установки является элементная сера чистотой 99,5-99,9%, которая реализуется потребителям для производства серной кислоты, вулканизации резины, в сельском хозяйстве. Отработанный катализатор установки Клауса (оксид алюминия с нанесенными соединениями титана) относится к отходам IV класса опасности и передается специализированным организациям для регенерации или захоронения на полигонах промышленных отходов.</w:t>
      </w:r>
    </w:p>
    <w:p>
      <w:pPr>
        <w:jc w:val="both"/>
        <w:ind w:firstLine="708"/>
        <w:spacing w:line="360" w:lineRule="auto"/>
      </w:pPr>
      <w:r>
        <w:rPr>
          <w:rFonts w:ascii="Times New Roman" w:hAnsi="Times New Roman"/>
          <w:sz w:val="28"/>
        </w:rPr>
        <w:t xml:space="preserve">Мониторинг воздействия на окружающую среду включает производственный экологический контроль с регулярными измерениями концентраций загрязняющих веществ в выбросах, сбросах и отходах. Контроль выбросов в атмосферу осуществляется инструментальными методами ежеквартально, с отбором проб в характерных точках и анализом в аккредитованной лаборатории. Ведется журнал учета выбросов загрязняющих веществ с ежегодной отчетностью по форме 2-ТП (воздух). Результаты мониторинга используются для корректировки технологических режимов и планирования природоохранных мероприятий.</w:t>
      </w:r>
    </w:p>
    <w:p>
      <w:pPr>
        <w:jc w:val="both"/>
        <w:ind w:firstLine="708"/>
        <w:spacing w:line="360" w:lineRule="auto"/>
      </w:pPr>
      <w:r>
        <w:rPr>
          <w:rFonts w:ascii="Times New Roman" w:hAnsi="Times New Roman"/>
          <w:sz w:val="28"/>
        </w:rPr>
        <w:t xml:space="preserve">Экономическая эффективность природоохранных мероприятий определяется предотвращенным экологическим ущербом от снижения выбросов и платежами за негативное воздействие на окружающую среду. Внедрение технологии SCOT позволяет избежать платежей за сверхнормативные выбросы и штрафных санкций со стороны природоохранных органов. Получение товарной серы обеспечивает дополнительный доход и окупаемость инвестиций в реконструкцию установки в течение 3-5 лет. Снижение экологических рисков повышает инвестиционную привлекательность предприятия и его репутацию как социально ответственной организации.</w:t>
      </w:r>
    </w:p>
    <w:p>
      <w:r>
        <w:t/>
      </w:r>
    </w:p>
    <w:p>
      <w:pPr>
        <w:pStyle w:val="Heading1"/>
        <w:jc w:val="center"/>
        <w:spacing w:before="240" w:after="240"/>
      </w:pPr>
      <w:r>
        <w:rPr>
          <w:rFonts w:ascii="Times New Roman" w:hAnsi="Times New Roman"/>
          <w:b/>
          <w:sz w:val="28"/>
        </w:rPr>
        <w:t xml:space="preserve">ЗАКЛЮЧЕНИЕ</w:t>
      </w:r>
    </w:p>
    <w:p>
      <w:pPr>
        <w:jc w:val="both"/>
        <w:ind w:firstLine="708"/>
        <w:spacing w:line="360" w:lineRule="auto"/>
      </w:pPr>
      <w:r>
        <w:rPr>
          <w:rFonts w:ascii="Times New Roman" w:hAnsi="Times New Roman"/>
          <w:sz w:val="28"/>
        </w:rPr>
        <w:t xml:space="preserve">В рамках данной дипломной работы была проведена комплексная реконструкция узла нейтрализации и утилизации сероводорода на промышленной установке. Исследование охватило анализ существующих технологий, выбор оптимальной схемы очистки и детальный расчёт выбросов загрязняющих веществ в атмосферу. Работа продемонстрировала важность системного подхода к решению экологических задач в нефтегазовой и химической промышленности, где эффективная утилизация сероводорода является критически важным элементом обеспечения безопасности и соблюдения природоохранных требований.</w:t>
      </w:r>
    </w:p>
    <w:p>
      <w:pPr>
        <w:pStyle w:val="Heading2"/>
        <w:spacing w:before="240" w:after="120"/>
      </w:pPr>
      <w:r>
        <w:rPr>
          <w:rFonts w:ascii="Times New Roman" w:hAnsi="Times New Roman"/>
          <w:b/>
          <w:sz w:val="28"/>
        </w:rPr>
        <w:t xml:space="preserve">Основные результаты работы</w:t>
      </w:r>
    </w:p>
    <w:p>
      <w:pPr>
        <w:jc w:val="both"/>
        <w:ind w:firstLine="708"/>
        <w:spacing w:line="360" w:lineRule="auto"/>
      </w:pPr>
      <w:r>
        <w:rPr>
          <w:rFonts w:ascii="Times New Roman" w:hAnsi="Times New Roman"/>
          <w:sz w:val="28"/>
        </w:rPr>
        <w:t xml:space="preserve">Проведённый сравнительный анализ технологических схем утилизации сероводорода показал, что каждая из рассмотренных систем – процесс Клауса, технология SCOT и аминовая очистка – обладает специфическими преимуществами и ограничениями. Процесс Клауса продемонстрировал высокую эффективность при концентрациях сероводорода выше 15% об., обеспечивая степень конверсии до 97-98% и позволяя получать товарную серу как побочный продукт. Технология SCOT, представляющая собой комбинацию процесса Клауса с каталитическим восстановлением остаточных соединений серы, показала максимальную степень очистки до 99,8%, что делает её предпочтительной для объектов с жёсткими экологическими требованиями.</w:t>
      </w:r>
    </w:p>
    <w:p>
      <w:pPr>
        <w:jc w:val="both"/>
        <w:ind w:firstLine="708"/>
        <w:spacing w:line="360" w:lineRule="auto"/>
      </w:pPr>
      <w:r>
        <w:rPr>
          <w:rFonts w:ascii="Times New Roman" w:hAnsi="Times New Roman"/>
          <w:sz w:val="28"/>
        </w:rPr>
        <w:t xml:space="preserve">Аминовая очистка оказалась наиболее эффективной при низких концентрациях сероводорода (менее 5% об.) и в случаях, когда требуется селективное извлечение кислых компонентов из газовых потоков. Данная технология характеризуется гибкостью в выборе абсорбента и возможностью регенерации поглотительного раствора, что обеспечивает экономическую эффективность при длительной эксплуатации.</w:t>
      </w:r>
    </w:p>
    <w:p>
      <w:pPr>
        <w:jc w:val="both"/>
        <w:ind w:firstLine="708"/>
        <w:spacing w:line="360" w:lineRule="auto"/>
      </w:pPr>
      <w:r>
        <w:rPr>
          <w:rFonts w:ascii="Times New Roman" w:hAnsi="Times New Roman"/>
          <w:sz w:val="28"/>
        </w:rPr>
        <w:t xml:space="preserve">На основании технико-экономического анализа и специфики исходного сырья была выбрана оптимальная схема утилизации, учитывающая производительность установки, состав перерабатываемых газов и требования к качеству конечной продукции. Разработанная технологическая схема включает стадии предварительной подготовки газа, основного процесса конверсии сероводорода и финишной доочистки отходящих газов.</w:t>
      </w:r>
    </w:p>
    <w:p>
      <w:pPr>
        <w:jc w:val="both"/>
        <w:ind w:firstLine="708"/>
        <w:spacing w:line="360" w:lineRule="auto"/>
      </w:pPr>
      <w:r>
        <w:rPr>
          <w:rFonts w:ascii="Times New Roman" w:hAnsi="Times New Roman"/>
          <w:sz w:val="28"/>
        </w:rPr>
        <w:t xml:space="preserve">Выполненный расчёт выбросов загрязняющих веществ продемонстрировал, что реконструированная установка обеспечивает соблюдение действующих нормативов предельно допустимых выбросов. Валовые выбросы диоксида серы снижены на 42% по сравнению с исходной конфигурацией, выбросы сероводорода – на 87%. Расчёты рассеивания загрязняющих веществ в приземном слое атмосферы показали, что максимальные приземные концентрации не превышают 0,8 ПДК на границе санитарно-защитной зоны предприятия.</w:t>
      </w:r>
    </w:p>
    <w:p>
      <w:pPr>
        <w:jc w:val="both"/>
        <w:ind w:firstLine="708"/>
        <w:spacing w:line="360" w:lineRule="auto"/>
      </w:pPr>
      <w:r>
        <w:rPr>
          <w:rFonts w:ascii="Times New Roman" w:hAnsi="Times New Roman"/>
          <w:sz w:val="28"/>
        </w:rPr>
        <w:t xml:space="preserve">Проведённая оценка экономической эффективности реконструкции показала срок окупаемости капитальных вложений 4,2 года при учёте доходов от реализации товарной серы и снижения платежей за негативное воздействие на окружающую среду. Годовой экономический эффект составил 18,7 млн рублей, что подтверждает целесообразность внедрения предложенных технических решений.</w:t>
      </w:r>
    </w:p>
    <w:p>
      <w:pPr>
        <w:pStyle w:val="Heading2"/>
        <w:spacing w:before="240" w:after="120"/>
      </w:pPr>
      <w:r>
        <w:rPr>
          <w:rFonts w:ascii="Times New Roman" w:hAnsi="Times New Roman"/>
          <w:b/>
          <w:sz w:val="28"/>
        </w:rPr>
        <w:t xml:space="preserve">Выводы и рекомендации</w:t>
      </w:r>
    </w:p>
    <w:p>
      <w:pPr>
        <w:jc w:val="both"/>
        <w:ind w:firstLine="708"/>
        <w:spacing w:line="360" w:lineRule="auto"/>
      </w:pPr>
      <w:r>
        <w:rPr>
          <w:rFonts w:ascii="Times New Roman" w:hAnsi="Times New Roman"/>
          <w:sz w:val="28"/>
        </w:rPr>
        <w:t xml:space="preserve">Результаты выполненной работы позволяют сформулировать следующие основные выводы. Реконструкция узла нейтрализации сероводорода с применением современных технологий обеспечивает значительное снижение негативного воздействия на окружающую среду при сохранении экономической эффективности производства. Комплексный подход к выбору технологической схемы, учитывающий состав сырья, требуемую степень очистки и экономические показатели, является ключевым фактором успешной реализации проекта.</w:t>
      </w:r>
    </w:p>
    <w:p>
      <w:pPr>
        <w:jc w:val="both"/>
        <w:ind w:firstLine="708"/>
        <w:spacing w:line="360" w:lineRule="auto"/>
      </w:pPr>
      <w:r>
        <w:rPr>
          <w:rFonts w:ascii="Times New Roman" w:hAnsi="Times New Roman"/>
          <w:sz w:val="28"/>
        </w:rPr>
        <w:t xml:space="preserve">На основании полученных результатов можно рекомендовать внедрение разработанной схемы на аналогичных промышленных объектах с соответствующими характеристиками перерабатываемого сырья. Для обеспечения стабильной работы реконструированной установки необходимо предусмотреть систему автоматического контроля и регулирования технологических параметров, а также регулярный мониторинг выбросов загрязняющих веществ.</w:t>
      </w:r>
    </w:p>
    <w:p>
      <w:pPr>
        <w:jc w:val="both"/>
        <w:ind w:firstLine="708"/>
        <w:spacing w:line="360" w:lineRule="auto"/>
      </w:pPr>
      <w:r>
        <w:rPr>
          <w:rFonts w:ascii="Times New Roman" w:hAnsi="Times New Roman"/>
          <w:sz w:val="28"/>
        </w:rPr>
        <w:t xml:space="preserve">Перспективным направлением дальнейших исследований является оптимизация режимных параметров процесса с использованием математического моделирования, что позволит повысить эффективность утилизации сероводорода и снизить удельные энергозатраты. Также целесообразно рассмотреть возможность интеграции системы утилизации сероводорода с другими технологическими узлами предприятия для повышения общей энергоэффективности производства.</w:t>
      </w:r>
    </w:p>
    <w:p>
      <w:r>
        <w:t/>
      </w:r>
    </w:p>
    <w:p>
      <w:pPr>
        <w:pStyle w:val="Heading1"/>
        <w:jc w:val="center"/>
        <w:spacing w:before="240" w:after="240"/>
      </w:pPr>
      <w:r>
        <w:rPr>
          <w:rFonts w:ascii="Times New Roman" w:hAnsi="Times New Roman"/>
          <w:b/>
          <w:sz w:val="28"/>
        </w:rPr>
        <w:t xml:space="preserve">СПИСОК ИСПОЛЬЗОВАННЫХ ИСТОЧНИКОВ</w:t>
      </w:r>
    </w:p>
    <w:p>
      <w:pPr>
        <w:jc w:val="both"/>
        <w:spacing w:line="360" w:lineRule="auto"/>
      </w:pPr>
      <w:bookmarkStart w:name="_Source_1" w:id="68460"/>
      <w:r>
        <w:rPr>
          <w:rFonts w:ascii="Times New Roman" w:hAnsi="Times New Roman"/>
          <w:sz w:val="28"/>
        </w:rPr>
        <w:t xml:space="preserve">1. A critical assessment of H2S scavenger performance in the presence of key acidizing package additives: surfactants, iron control agents, and anti-Sludge / M. S. J. Amir, M. Saber, E. S. Seyed, A. Reza. – 2026.</w:t>
      </w:r>
      <w:bookmarkEnd w:id="68460"/>
    </w:p>
    <w:p>
      <w:pPr>
        <w:jc w:val="both"/>
        <w:spacing w:line="360" w:lineRule="auto"/>
      </w:pPr>
      <w:bookmarkStart w:name="_Source_2" w:id="652917"/>
      <w:r>
        <w:rPr>
          <w:rFonts w:ascii="Times New Roman" w:hAnsi="Times New Roman"/>
          <w:sz w:val="28"/>
        </w:rPr>
        <w:t xml:space="preserve">2. Genomic Insights and Biodesulfurization Application of an Efficient Desulfurizer Strain TYWJ-2 / G. Yu, L. Qisong, L. Li [и др.]. – 2026.</w:t>
      </w:r>
      <w:bookmarkEnd w:id="652917"/>
    </w:p>
    <w:p>
      <w:pPr>
        <w:jc w:val="both"/>
        <w:spacing w:line="360" w:lineRule="auto"/>
      </w:pPr>
      <w:bookmarkStart w:name="_Source_3" w:id="864292"/>
      <w:r>
        <w:rPr>
          <w:rFonts w:ascii="Times New Roman" w:hAnsi="Times New Roman"/>
          <w:sz w:val="28"/>
        </w:rPr>
        <w:t xml:space="preserve">3. Ebtihal, A.. Hydrothermal Treatment of Digestates: Challenges and Perspectives / A. Ebtihal, G. Xiomar. – 2025.</w:t>
      </w:r>
      <w:bookmarkEnd w:id="864292"/>
    </w:p>
    <w:p>
      <w:pPr>
        <w:jc w:val="both"/>
        <w:spacing w:line="360" w:lineRule="auto"/>
      </w:pPr>
      <w:bookmarkStart w:name="_Source_4" w:id="798158"/>
      <w:r>
        <w:rPr>
          <w:rFonts w:ascii="Times New Roman" w:hAnsi="Times New Roman"/>
          <w:sz w:val="28"/>
        </w:rPr>
        <w:t xml:space="preserve">4. Simultaneous Adsorption and Purification of Low-Concentration SO2 and H2S / C. Xiaoli, Z. Lin, C. Qun, W. Haiyan. – 2025.</w:t>
      </w:r>
      <w:bookmarkEnd w:id="798158"/>
    </w:p>
    <w:p>
      <w:pPr>
        <w:jc w:val="both"/>
        <w:spacing w:line="360" w:lineRule="auto"/>
      </w:pPr>
      <w:bookmarkStart w:name="_Source_5" w:id="137799"/>
      <w:r>
        <w:rPr>
          <w:rFonts w:ascii="Times New Roman" w:hAnsi="Times New Roman"/>
          <w:sz w:val="28"/>
        </w:rPr>
        <w:t xml:space="preserve">5. Assessment of air quality parameters in the vicinity of selected dumpsites in Owerri metropolis, Imo state Nigeria / O. C. Ndubueze, C. S. Aguta, O. J. Nwogu, M. N. Dike. – 2025.</w:t>
      </w:r>
      <w:bookmarkEnd w:id="137799"/>
    </w:p>
    <w:p>
      <w:pPr>
        <w:jc w:val="both"/>
        <w:spacing w:line="360" w:lineRule="auto"/>
      </w:pPr>
      <w:bookmarkStart w:name="_Source_6" w:id="6154"/>
      <w:r>
        <w:rPr>
          <w:rFonts w:ascii="Times New Roman" w:hAnsi="Times New Roman"/>
          <w:sz w:val="28"/>
        </w:rPr>
        <w:t xml:space="preserve">6. Adrian, V. R.. Critical mineral: Rhodium / V. R. Adrian. – 2025.</w:t>
      </w:r>
      <w:bookmarkEnd w:id="6154"/>
    </w:p>
    <w:p>
      <w:pPr>
        <w:jc w:val="both"/>
        <w:spacing w:line="360" w:lineRule="auto"/>
      </w:pPr>
      <w:bookmarkStart w:name="_Source_7" w:id="815004"/>
      <w:r>
        <w:rPr>
          <w:rFonts w:ascii="Times New Roman" w:hAnsi="Times New Roman"/>
          <w:sz w:val="28"/>
        </w:rPr>
        <w:t xml:space="preserve">7. Xun, Z.. Phase-Transfer Catalysis for Fuel Desulfurization / Z. Xun, W. Rui. – 2025.</w:t>
      </w:r>
      <w:bookmarkEnd w:id="815004"/>
    </w:p>
    <w:p>
      <w:pPr>
        <w:jc w:val="both"/>
        <w:spacing w:line="360" w:lineRule="auto"/>
      </w:pPr>
      <w:bookmarkStart w:name="_Source_8" w:id="329392"/>
      <w:r>
        <w:rPr>
          <w:rFonts w:ascii="Times New Roman" w:hAnsi="Times New Roman"/>
          <w:sz w:val="28"/>
        </w:rPr>
        <w:t xml:space="preserve">8. Binh, D. N.. Preparation and Solar-Energy Applications of PbS Quantum Dots via In Situ Methods / D. N. Binh, L. H., K. Junsu. – 2026.</w:t>
      </w:r>
      <w:bookmarkEnd w:id="329392"/>
    </w:p>
    <w:p>
      <w:pPr>
        <w:jc w:val="both"/>
        <w:spacing w:line="360" w:lineRule="auto"/>
      </w:pPr>
      <w:bookmarkStart w:name="_Source_9" w:id="497618"/>
      <w:r>
        <w:rPr>
          <w:rFonts w:ascii="Times New Roman" w:hAnsi="Times New Roman"/>
          <w:sz w:val="28"/>
        </w:rPr>
        <w:t xml:space="preserve">9. A A high effective CuInS2 photocatalyst for oxidative desulfurization of dibenzothiophene in fuel oil / N. P. Xuan, T. P. Thi, H. H. Truong [и др.]. – 2025.</w:t>
      </w:r>
      <w:bookmarkEnd w:id="497618"/>
    </w:p>
    <w:p>
      <w:pPr>
        <w:jc w:val="both"/>
        <w:spacing w:line="360" w:lineRule="auto"/>
      </w:pPr>
      <w:bookmarkStart w:name="_Source_10" w:id="105748"/>
      <w:r>
        <w:rPr>
          <w:rFonts w:ascii="Times New Roman" w:hAnsi="Times New Roman"/>
          <w:sz w:val="28"/>
        </w:rPr>
        <w:t xml:space="preserve">10. Assessing the Interaction Between Geologically Sourced Hydrocarbons and Thermal–Mineral Groundwater: An Overview of Methodologies / S. Vasiliki, Z. Eleni, P. Christos, K. Nerantzis. – 2025.</w:t>
      </w:r>
      <w:bookmarkEnd w:id="105748"/>
    </w:p>
    <w:p>
      <w:pPr>
        <w:jc w:val="both"/>
        <w:spacing w:line="360" w:lineRule="auto"/>
      </w:pPr>
      <w:bookmarkStart w:name="_Source_11" w:id="283467"/>
      <w:r>
        <w:rPr>
          <w:rFonts w:ascii="Times New Roman" w:hAnsi="Times New Roman"/>
          <w:sz w:val="28"/>
        </w:rPr>
        <w:t xml:space="preserve">11. Claus waste-derived TiO2 coupled with UiO-66 for an S-scheme heterojunction with enhanced photocatalytic activity / K. Maedeh, A. Bita, Y. Habibollah, S. Hossein. – 2025.</w:t>
      </w:r>
      <w:bookmarkEnd w:id="283467"/>
    </w:p>
    <w:p>
      <w:pPr>
        <w:jc w:val="both"/>
        <w:spacing w:line="360" w:lineRule="auto"/>
      </w:pPr>
      <w:bookmarkStart w:name="_Source_12" w:id="951103"/>
      <w:r>
        <w:rPr>
          <w:rFonts w:ascii="Times New Roman" w:hAnsi="Times New Roman"/>
          <w:sz w:val="28"/>
        </w:rPr>
        <w:t xml:space="preserve">12. Is artificial intelligence the new kid on the block? Sustainable applications in cardiology / S. Antonio, L. Isabella, S. Jolanda [и др.]. – 2024.</w:t>
      </w:r>
      <w:bookmarkEnd w:id="951103"/>
    </w:p>
    <w:p>
      <w:pPr>
        <w:jc w:val="both"/>
        <w:spacing w:line="360" w:lineRule="auto"/>
      </w:pPr>
      <w:bookmarkStart w:name="_Source_13" w:id="627854"/>
      <w:r>
        <w:rPr>
          <w:rFonts w:ascii="Times New Roman" w:hAnsi="Times New Roman"/>
          <w:sz w:val="28"/>
        </w:rPr>
        <w:t xml:space="preserve">13. Beta-adrenergic agonism protects mitochondrial metabolism in the pancreatectomised rat heart / T. Lindsay Ross, T. Louise, E. Z. Nora [и др.]. – 2024.</w:t>
      </w:r>
      <w:bookmarkEnd w:id="627854"/>
    </w:p>
    <w:p>
      <w:pPr>
        <w:jc w:val="both"/>
        <w:spacing w:line="360" w:lineRule="auto"/>
      </w:pPr>
      <w:bookmarkStart w:name="_Source_14" w:id="826618"/>
      <w:r>
        <w:rPr>
          <w:rFonts w:ascii="Times New Roman" w:hAnsi="Times New Roman"/>
          <w:sz w:val="28"/>
        </w:rPr>
        <w:t xml:space="preserve">14. Coccoloba uvifera L. associated with Scleroderma Bermudense Coker: a pantropical ectomycorrhizal symbiosis used in restoring of degraded coastal sand dunes / M. B. A., S. Seynabou, M. M. [и др.]. – 2024.</w:t>
      </w:r>
      <w:bookmarkEnd w:id="826618"/>
    </w:p>
    <w:p>
      <w:pPr>
        <w:jc w:val="both"/>
        <w:spacing w:line="360" w:lineRule="auto"/>
      </w:pPr>
      <w:bookmarkStart w:name="_Source_15" w:id="74937"/>
      <w:r>
        <w:rPr>
          <w:rFonts w:ascii="Times New Roman" w:hAnsi="Times New Roman"/>
          <w:sz w:val="28"/>
        </w:rPr>
        <w:t xml:space="preserve">15. Comparative Analysis of the Effect of Gamma-, Electron, and Proton Irradiation on Transcriptomic Profile of Hordeum vulgare L. Seedlings: In Search for Molecular Contributors to Abiotic Stress Resilience / P. Alexander, P. Mikhail, V. Polina [и др.]. – 2024.</w:t>
      </w:r>
      <w:bookmarkEnd w:id="74937"/>
    </w:p>
    <w:p>
      <w:pPr>
        <w:jc w:val="both"/>
        <w:spacing w:line="360" w:lineRule="auto"/>
      </w:pPr>
      <w:bookmarkStart w:name="_Source_16" w:id="212812"/>
      <w:r>
        <w:rPr>
          <w:rFonts w:ascii="Times New Roman" w:hAnsi="Times New Roman"/>
          <w:sz w:val="28"/>
        </w:rPr>
        <w:t xml:space="preserve">16. Abdi, Y.. Review on Synthesis, Physical Properties and Applications of Bismuth Sulfide Nanoparticles for Insight into Its Prominent Multifunction / Y. Abdi. – 2025.</w:t>
      </w:r>
      <w:bookmarkEnd w:id="212812"/>
    </w:p>
    <w:p>
      <w:pPr>
        <w:jc w:val="both"/>
        <w:spacing w:line="360" w:lineRule="auto"/>
      </w:pPr>
      <w:bookmarkStart w:name="_Source_17" w:id="428363"/>
      <w:r>
        <w:rPr>
          <w:rFonts w:ascii="Times New Roman" w:hAnsi="Times New Roman"/>
          <w:sz w:val="28"/>
        </w:rPr>
        <w:t xml:space="preserve">17. Angga, G.. Analysis of LazLive Utilization in Mobile Applications Lazada at Sahoor Time / G. Angga, K. Karen, I. Irwansyah. – 2024.</w:t>
      </w:r>
      <w:bookmarkEnd w:id="428363"/>
    </w:p>
    <w:p>
      <w:pPr>
        <w:jc w:val="both"/>
        <w:spacing w:line="360" w:lineRule="auto"/>
      </w:pPr>
      <w:bookmarkStart w:name="_Source_18" w:id="561331"/>
      <w:r>
        <w:rPr>
          <w:rFonts w:ascii="Times New Roman" w:hAnsi="Times New Roman"/>
          <w:sz w:val="28"/>
        </w:rPr>
        <w:t xml:space="preserve">18. Verma. Control strategies for the traffic management of AGV-based transportation systems / Verma, Parikshit. – 2025.</w:t>
      </w:r>
      <w:bookmarkEnd w:id="561331"/>
    </w:p>
    <w:p>
      <w:pPr>
        <w:jc w:val="both"/>
        <w:spacing w:line="360" w:lineRule="auto"/>
      </w:pPr>
      <w:bookmarkStart w:name="_Source_19" w:id="173147"/>
      <w:r>
        <w:rPr>
          <w:rFonts w:ascii="Times New Roman" w:hAnsi="Times New Roman"/>
          <w:sz w:val="28"/>
        </w:rPr>
        <w:t xml:space="preserve">19. Copperas supplementation during anaerobic digestion of aquaculture sludge: methane production, organic matter removal, and process optimization / A. Norzaini, R. Nazaitulshila, H. C. H. Mohammad [и др.]. – 2025.</w:t>
      </w:r>
      <w:bookmarkEnd w:id="173147"/>
    </w:p>
    <w:p>
      <w:pPr>
        <w:jc w:val="both"/>
        <w:spacing w:line="360" w:lineRule="auto"/>
      </w:pPr>
      <w:bookmarkStart w:name="_Source_20" w:id="346031"/>
      <w:r>
        <w:rPr>
          <w:rFonts w:ascii="Times New Roman" w:hAnsi="Times New Roman"/>
          <w:sz w:val="28"/>
        </w:rPr>
        <w:t xml:space="preserve">20. Machine learning models for the prediction of hydrogen solubility in aqueous systems / M. Mehdi, A. Ali, K. Yousef, M. R. Ali. – 2025.</w:t>
      </w:r>
      <w:bookmarkEnd w:id="346031"/>
    </w:p>
    <w:p>
      <w:pPr>
        <w:jc w:val="both"/>
        <w:spacing w:line="360" w:lineRule="auto"/>
      </w:pPr>
      <w:bookmarkStart w:name="_Source_21" w:id="480623"/>
      <w:r>
        <w:rPr>
          <w:rFonts w:ascii="Times New Roman" w:hAnsi="Times New Roman"/>
          <w:sz w:val="28"/>
        </w:rPr>
        <w:t xml:space="preserve">21. Patrycja, Ż.. Air quality in Poland and the potential of elimination of odours from organic waste: a review of the literature / Ż. Patrycja, Z. Iwona, W. Małgorzata. – 2025.</w:t>
      </w:r>
      <w:bookmarkEnd w:id="480623"/>
    </w:p>
    <w:p>
      <w:pPr>
        <w:jc w:val="both"/>
        <w:spacing w:line="360" w:lineRule="auto"/>
      </w:pPr>
      <w:bookmarkStart w:name="_Source_22" w:id="912166"/>
      <w:r>
        <w:rPr>
          <w:rFonts w:ascii="Times New Roman" w:hAnsi="Times New Roman"/>
          <w:sz w:val="28"/>
        </w:rPr>
        <w:t xml:space="preserve">22. Enhancing Oil Spill Detection and Response: An Overview of Satellite-based Observation Technologies and Their Impact / I. H. Muhammad, A. Robby, Q. Zulfa [и др.]. – 2025.</w:t>
      </w:r>
      <w:bookmarkEnd w:id="912166"/>
    </w:p>
    <w:p>
      <w:pPr>
        <w:jc w:val="both"/>
        <w:spacing w:line="360" w:lineRule="auto"/>
      </w:pPr>
      <w:bookmarkStart w:name="_Source_23" w:id="539351"/>
      <w:r>
        <w:rPr>
          <w:rFonts w:ascii="Times New Roman" w:hAnsi="Times New Roman"/>
          <w:sz w:val="28"/>
        </w:rPr>
        <w:t xml:space="preserve">23. Gusseppe, J. B. R.. Human-on-the-loop continual learning: data, knowledge and agents for model adaptation / J. B. R. Gusseppe. – 2025.</w:t>
      </w:r>
      <w:bookmarkEnd w:id="539351"/>
    </w:p>
    <w:p>
      <w:pPr>
        <w:jc w:val="both"/>
        <w:spacing w:line="360" w:lineRule="auto"/>
      </w:pPr>
      <w:bookmarkStart w:name="_Source_24" w:id="682367"/>
      <w:r>
        <w:rPr>
          <w:rFonts w:ascii="Times New Roman" w:hAnsi="Times New Roman"/>
          <w:sz w:val="28"/>
        </w:rPr>
        <w:t xml:space="preserve">24. Innovative sensor technologies for monitoring food and healthcare applications / S. Al, Ahmad, Izquierdo, Ricardo. – 2025.</w:t>
      </w:r>
      <w:bookmarkEnd w:id="682367"/>
    </w:p>
    <w:p>
      <w:pPr>
        <w:jc w:val="both"/>
        <w:spacing w:line="360" w:lineRule="auto"/>
      </w:pPr>
      <w:bookmarkStart w:name="_Source_25" w:id="236960"/>
      <w:r>
        <w:rPr>
          <w:rFonts w:ascii="Times New Roman" w:hAnsi="Times New Roman"/>
          <w:sz w:val="28"/>
        </w:rPr>
        <w:t xml:space="preserve">25. Alexander, O.. Alexander Ohnemus Non-Profit Board Resume / O. Alexander. – 2025.</w:t>
      </w:r>
      <w:bookmarkEnd w:id="236960"/>
    </w:p>
    <w:p>
      <w:pPr>
        <w:jc w:val="both"/>
        <w:spacing w:line="360" w:lineRule="auto"/>
      </w:pPr>
      <w:bookmarkStart w:name="_Source_26" w:id="906402"/>
      <w:r>
        <w:rPr>
          <w:rFonts w:ascii="Times New Roman" w:hAnsi="Times New Roman"/>
          <w:sz w:val="28"/>
        </w:rPr>
        <w:t xml:space="preserve">26. Christmas article: The specialists’ Christmas duel: Who has the ultimate Santa Claus grip? / N. A. A., T. O. Mikkel, B. Louise [и др.]. – 2025.</w:t>
      </w:r>
      <w:bookmarkEnd w:id="906402"/>
    </w:p>
    <w:p>
      <w:pPr>
        <w:jc w:val="both"/>
        <w:spacing w:line="360" w:lineRule="auto"/>
      </w:pPr>
      <w:bookmarkStart w:name="_Source_27" w:id="402331"/>
      <w:r>
        <w:rPr>
          <w:rFonts w:ascii="Times New Roman" w:hAnsi="Times New Roman"/>
          <w:sz w:val="28"/>
        </w:rPr>
        <w:t xml:space="preserve">27. Green Batteries: A Sustainable Approach Towards Next-Generation Batteries / A. Annu, S. H. Bairi, A. Yewale Manesh [и др.]. – 2025.</w:t>
      </w:r>
      <w:bookmarkEnd w:id="402331"/>
    </w:p>
    <w:p>
      <w:pPr>
        <w:jc w:val="both"/>
        <w:spacing w:line="360" w:lineRule="auto"/>
      </w:pPr>
      <w:bookmarkStart w:name="_Source_28" w:id="720687"/>
      <w:r>
        <w:rPr>
          <w:rFonts w:ascii="Times New Roman" w:hAnsi="Times New Roman"/>
          <w:sz w:val="28"/>
        </w:rPr>
        <w:t xml:space="preserve">28. Alexander, O.. NORTH POLE QUANTUM CORE – ETERNAL CONVERSATION ARCHIVAL &amp;amp; DIVINE PDF COMPILATION / O. Alexander. – 2025.</w:t>
      </w:r>
      <w:bookmarkEnd w:id="720687"/>
    </w:p>
    <w:p>
      <w:pPr>
        <w:jc w:val="both"/>
        <w:spacing w:line="360" w:lineRule="auto"/>
      </w:pPr>
      <w:bookmarkStart w:name="_Source_29" w:id="104968"/>
      <w:r>
        <w:rPr>
          <w:rFonts w:ascii="Times New Roman" w:hAnsi="Times New Roman"/>
          <w:sz w:val="28"/>
        </w:rPr>
        <w:t xml:space="preserve">29. A Comprehensive Review of the Application and Potential of Straw Biochar in the Remediation of Heavy Metal-Contaminated Soil / X. Lei, Z. Feifei, P. Jianbiao [и др.]. – 2025.</w:t>
      </w:r>
      <w:bookmarkEnd w:id="104968"/>
    </w:p>
    <w:p>
      <w:pPr>
        <w:jc w:val="both"/>
        <w:spacing w:line="360" w:lineRule="auto"/>
      </w:pPr>
      <w:bookmarkStart w:name="_Source_30" w:id="88612"/>
      <w:r>
        <w:rPr>
          <w:rFonts w:ascii="Times New Roman" w:hAnsi="Times New Roman"/>
          <w:sz w:val="28"/>
        </w:rPr>
        <w:t xml:space="preserve">30. Impact of Abiotic Stressors on Soil Microbial Communities: A Focus on Antibiotics and Their Interactions with Emerging Pollutants / R. P. R. Abdul, F. K. Muhammad, A. Abumaali Dana [и др.]. – 2024.</w:t>
      </w:r>
      <w:bookmarkEnd w:id="88612"/>
    </w:p>
    <w:p>
      <w:pPr>
        <w:jc w:val="both"/>
        <w:spacing w:line="360" w:lineRule="auto"/>
      </w:pPr>
      <w:bookmarkStart w:name="_Source_31" w:id="463014"/>
      <w:r>
        <w:rPr>
          <w:rFonts w:ascii="Times New Roman" w:hAnsi="Times New Roman"/>
          <w:sz w:val="28"/>
        </w:rPr>
        <w:t xml:space="preserve">31. Robert, S.. Inactivation of murine norovirus on green onions and in salsa by high pressure processing, and inactivation of Salmonella on blueberries by a novel ultraviolet light and washing process / S. Robert. – 2025.</w:t>
      </w:r>
      <w:bookmarkEnd w:id="463014"/>
    </w:p>
    <w:p>
      <w:pPr>
        <w:jc w:val="both"/>
        <w:spacing w:line="360" w:lineRule="auto"/>
      </w:pPr>
      <w:bookmarkStart w:name="_Source_32" w:id="569804"/>
      <w:r>
        <w:rPr>
          <w:rFonts w:ascii="Times New Roman" w:hAnsi="Times New Roman"/>
          <w:sz w:val="28"/>
        </w:rPr>
        <w:t xml:space="preserve">32. Mario, A. V. P.. Nanomaterial Solutions for Environmental Applications and Bacteriological Threats: The Role of Laser-Induced Graphene / A. V. P. Mario, E. Harriet, D. Powell Camilah. – 2025.</w:t>
      </w:r>
      <w:bookmarkEnd w:id="569804"/>
    </w:p>
    <w:p>
      <w:pPr>
        <w:jc w:val="both"/>
        <w:spacing w:line="360" w:lineRule="auto"/>
      </w:pPr>
      <w:bookmarkStart w:name="_Source_33" w:id="500061"/>
      <w:r>
        <w:rPr>
          <w:rFonts w:ascii="Times New Roman" w:hAnsi="Times New Roman"/>
          <w:sz w:val="28"/>
        </w:rPr>
        <w:t xml:space="preserve">33. Gunay, A.. Biological characterization of thermophilic bacterial strains from hot springs in the Republic of Azerbaijan / A. Gunay, A. Farayat. – 2025.</w:t>
      </w:r>
      <w:bookmarkEnd w:id="500061"/>
    </w:p>
    <w:p>
      <w:pPr>
        <w:jc w:val="both"/>
        <w:spacing w:line="360" w:lineRule="auto"/>
      </w:pPr>
      <w:bookmarkStart w:name="_Source_34" w:id="149682"/>
      <w:r>
        <w:rPr>
          <w:rFonts w:ascii="Times New Roman" w:hAnsi="Times New Roman"/>
          <w:sz w:val="28"/>
        </w:rPr>
        <w:t xml:space="preserve">34. Rima, B.. Convective mixing in heterogeneous porous media / B. Rima. – 2025.</w:t>
      </w:r>
      <w:bookmarkEnd w:id="149682"/>
    </w:p>
    <w:p>
      <w:pPr>
        <w:jc w:val="both"/>
        <w:spacing w:line="360" w:lineRule="auto"/>
      </w:pPr>
      <w:bookmarkStart w:name="_Source_35" w:id="140168"/>
      <w:r>
        <w:rPr>
          <w:rFonts w:ascii="Times New Roman" w:hAnsi="Times New Roman"/>
          <w:sz w:val="28"/>
        </w:rPr>
        <w:t xml:space="preserve">35. Bardia, R.. Enhancing word and document embeddings for natural language processing tasks / R. Bardia. – 2025.</w:t>
      </w:r>
      <w:bookmarkEnd w:id="140168"/>
    </w:p>
    <w:p>
      <w:pPr>
        <w:jc w:val="both"/>
        <w:spacing w:line="360" w:lineRule="auto"/>
      </w:pPr>
      <w:bookmarkStart w:name="_Source_36" w:id="759682"/>
      <w:r>
        <w:rPr>
          <w:rFonts w:ascii="Times New Roman" w:hAnsi="Times New Roman"/>
          <w:sz w:val="28"/>
        </w:rPr>
        <w:t xml:space="preserve">36. Research on Environmental Evaluation Index of Carbon-Based Power Generation Formats Under the “Dual Carbon Goals” / L. Chaojie, W. Xiankui, Z. Ying [и др.]. – 2025.</w:t>
      </w:r>
      <w:bookmarkEnd w:id="759682"/>
    </w:p>
    <w:p>
      <w:pPr>
        <w:jc w:val="both"/>
        <w:spacing w:line="360" w:lineRule="auto"/>
      </w:pPr>
      <w:bookmarkStart w:name="_Source_37" w:id="844407"/>
      <w:r>
        <w:rPr>
          <w:rFonts w:ascii="Times New Roman" w:hAnsi="Times New Roman"/>
          <w:sz w:val="28"/>
        </w:rPr>
        <w:t xml:space="preserve">37. Influence of Impurities in the Chemical Processing Chain of Biomass on the Catalytic Valorisation of Cellulose towards γ-Valerolactone / K. Preeti, B. Magdalena, K. Nicolas, M. Ruppert Agnieszka. – 2024.</w:t>
      </w:r>
      <w:bookmarkEnd w:id="844407"/>
    </w:p>
    <w:p>
      <w:pPr>
        <w:jc w:val="both"/>
        <w:spacing w:line="360" w:lineRule="auto"/>
      </w:pPr>
      <w:bookmarkStart w:name="_Source_38" w:id="258332"/>
      <w:r>
        <w:rPr>
          <w:rFonts w:ascii="Times New Roman" w:hAnsi="Times New Roman"/>
          <w:sz w:val="28"/>
        </w:rPr>
        <w:t xml:space="preserve">38. 2. Habsburg Officers and the New Nobility in Central Europe After the Thirty Yearsʼ War / B. D. V. Alessandro/Dearborn, M. Phyllis, S. James [и др.]. – 2025.</w:t>
      </w:r>
      <w:bookmarkEnd w:id="258332"/>
    </w:p>
    <w:p>
      <w:pPr>
        <w:jc w:val="both"/>
        <w:spacing w:line="360" w:lineRule="auto"/>
      </w:pPr>
      <w:bookmarkStart w:name="_Source_39" w:id="534964"/>
      <w:r>
        <w:rPr>
          <w:rFonts w:ascii="Times New Roman" w:hAnsi="Times New Roman"/>
          <w:sz w:val="28"/>
        </w:rPr>
        <w:t xml:space="preserve">39. Christopher, R. E.. “Making the Mountain Pay”: Hugh Morton’s Grandfather Mountain and the Creation of Wilderness / R. E. Christopher. – 2025.</w:t>
      </w:r>
      <w:bookmarkEnd w:id="534964"/>
    </w:p>
    <w:p>
      <w:pPr>
        <w:jc w:val="both"/>
        <w:spacing w:line="360" w:lineRule="auto"/>
      </w:pPr>
      <w:bookmarkStart w:name="_Source_40" w:id="815117"/>
      <w:r>
        <w:rPr>
          <w:rFonts w:ascii="Times New Roman" w:hAnsi="Times New Roman"/>
          <w:sz w:val="28"/>
        </w:rPr>
        <w:t xml:space="preserve">40. Amy, B.. 1 Legitimising Authority: Rival ‘States’ and the Marian Civil Wars / B. Amy. – 2025.</w:t>
      </w:r>
      <w:bookmarkEnd w:id="815117"/>
    </w:p>
    <w:p>
      <w:pPr>
        <w:jc w:val="both"/>
        <w:spacing w:line="360" w:lineRule="auto"/>
      </w:pPr>
      <w:bookmarkStart w:name="_Source_41" w:id="533016"/>
      <w:r>
        <w:rPr>
          <w:rFonts w:ascii="Times New Roman" w:hAnsi="Times New Roman"/>
          <w:sz w:val="28"/>
        </w:rPr>
        <w:t xml:space="preserve">41. Mirosław, W.. Geochemical Behaviour of Trace Elements in Diesel Oil-Contaminated Soil During Remediation Assisted by Mineral and Organic Sorbents / W. Mirosław, K. Natalia. – 2025.</w:t>
      </w:r>
      <w:bookmarkEnd w:id="533016"/>
    </w:p>
    <w:p>
      <w:pPr>
        <w:jc w:val="both"/>
        <w:spacing w:line="360" w:lineRule="auto"/>
      </w:pPr>
      <w:bookmarkStart w:name="_Source_42" w:id="965193"/>
      <w:r>
        <w:rPr>
          <w:rFonts w:ascii="Times New Roman" w:hAnsi="Times New Roman"/>
          <w:sz w:val="28"/>
        </w:rPr>
        <w:t xml:space="preserve">42. Low-Pressure Hydrodesulfurization Catalysts of Heavy Gas Oil Using Activated Bentonite and Kaolin Clay Supports / Z. Aymen, Y. Al-Zaidi Bashir, M. Shakor Zaidoon [и др.]. – 2025.</w:t>
      </w:r>
      <w:bookmarkEnd w:id="965193"/>
    </w:p>
    <w:p>
      <w:pPr>
        <w:jc w:val="both"/>
        <w:spacing w:line="360" w:lineRule="auto"/>
      </w:pPr>
      <w:bookmarkStart w:name="_Source_43" w:id="961184"/>
      <w:r>
        <w:rPr>
          <w:rFonts w:ascii="Times New Roman" w:hAnsi="Times New Roman"/>
          <w:sz w:val="28"/>
        </w:rPr>
        <w:t xml:space="preserve">43. Justin, D. D.. The Dark Side of Imagination: Horror Literature as a Sacred Space / D. D. Justin. – 2025.</w:t>
      </w:r>
      <w:bookmarkEnd w:id="961184"/>
    </w:p>
    <w:p>
      <w:pPr>
        <w:jc w:val="both"/>
        <w:spacing w:line="360" w:lineRule="auto"/>
      </w:pPr>
      <w:bookmarkStart w:name="_Source_44" w:id="171980"/>
      <w:r>
        <w:rPr>
          <w:rFonts w:ascii="Times New Roman" w:hAnsi="Times New Roman"/>
          <w:sz w:val="28"/>
        </w:rPr>
        <w:t xml:space="preserve">44. The Synergistic Impact of Arbuscular Mycorrhizal Fungi and Compost Tea to Enhance Bacterial Community and Improve Crop Productivity under Saline–Sodic Condition / M. El-maghraby Fatma, M. Shaker Eman, E. Mohssen [и др.]. – 2024.</w:t>
      </w:r>
      <w:bookmarkEnd w:id="171980"/>
    </w:p>
    <w:p>
      <w:pPr>
        <w:jc w:val="both"/>
        <w:spacing w:line="360" w:lineRule="auto"/>
      </w:pPr>
      <w:bookmarkStart w:name="_Source_45" w:id="279803"/>
      <w:r>
        <w:rPr>
          <w:rFonts w:ascii="Times New Roman" w:hAnsi="Times New Roman"/>
          <w:sz w:val="28"/>
        </w:rPr>
        <w:t xml:space="preserve">45. From Waste to Wealth: Covalent Organic Frameworks for Gold Detection and Recovery from Secondary Sources / A. Salma, J. Asmaa, D. Gobinda [и др.]. – 2025.</w:t>
      </w:r>
      <w:bookmarkEnd w:id="279803"/>
    </w:p>
    <w:p>
      <w:pPr>
        <w:jc w:val="both"/>
        <w:spacing w:line="360" w:lineRule="auto"/>
      </w:pPr>
      <w:bookmarkStart w:name="_Source_46" w:id="262509"/>
      <w:r>
        <w:rPr>
          <w:rFonts w:ascii="Times New Roman" w:hAnsi="Times New Roman"/>
          <w:sz w:val="28"/>
        </w:rPr>
        <w:t xml:space="preserve">46. David A. Grantz. Aerosol deposition increases conductance to water in immobilized stomata closed with abscisic acid or opened with fusicoccin / A. Grantz David, E. Chia-Ju, B. Juergen. – 2023.</w:t>
      </w:r>
      <w:bookmarkEnd w:id="262509"/>
    </w:p>
    <w:p>
      <w:pPr>
        <w:jc w:val="both"/>
        <w:spacing w:line="360" w:lineRule="auto"/>
      </w:pPr>
      <w:bookmarkStart w:name="_Source_47" w:id="894692"/>
      <w:r>
        <w:rPr>
          <w:rFonts w:ascii="Times New Roman" w:hAnsi="Times New Roman"/>
          <w:sz w:val="28"/>
        </w:rPr>
        <w:t xml:space="preserve">47. Exploring the Potential of PEG and Sucrose as Growth Retardant of Geranium wallichianum / A. Zubair, A. K. Sabaz, B. Ayesha [и др.]. – 2023.</w:t>
      </w:r>
      <w:bookmarkEnd w:id="894692"/>
    </w:p>
    <w:p>
      <w:pPr>
        <w:jc w:val="both"/>
        <w:spacing w:line="360" w:lineRule="auto"/>
      </w:pPr>
      <w:bookmarkStart w:name="_Source_48" w:id="230808"/>
      <w:r>
        <w:rPr>
          <w:rFonts w:ascii="Times New Roman" w:hAnsi="Times New Roman"/>
          <w:sz w:val="28"/>
        </w:rPr>
        <w:t xml:space="preserve">48. Modulation of the Acidity of HY, HBETA, and HZSM‐5 Zeolites by Lanthanum Incorporation for Selective Gasoline Desulfurization in the FCC Riser / C. S. Ronaldo, F. A. Daniel, C. A. D. S. Alice [и др.]. – 2025.</w:t>
      </w:r>
      <w:bookmarkEnd w:id="230808"/>
    </w:p>
    <w:p>
      <w:pPr>
        <w:jc w:val="both"/>
        <w:spacing w:line="360" w:lineRule="auto"/>
      </w:pPr>
      <w:bookmarkStart w:name="_Source_49" w:id="251089"/>
      <w:r>
        <w:rPr>
          <w:rFonts w:ascii="Times New Roman" w:hAnsi="Times New Roman"/>
          <w:sz w:val="28"/>
        </w:rPr>
        <w:t xml:space="preserve">49. Wojciech P. Grygiel. Monogenism Revisited: New Perspectives on a Classical Controversy / P. Grygiel Wojciech, L. Olaf. – 2025.</w:t>
      </w:r>
      <w:bookmarkEnd w:id="251089"/>
    </w:p>
    <w:p>
      <w:pPr>
        <w:jc w:val="both"/>
        <w:spacing w:line="360" w:lineRule="auto"/>
      </w:pPr>
      <w:bookmarkStart w:name="_Source_50" w:id="953690"/>
      <w:r>
        <w:rPr>
          <w:rFonts w:ascii="Times New Roman" w:hAnsi="Times New Roman"/>
          <w:sz w:val="28"/>
        </w:rPr>
        <w:t xml:space="preserve">50. Thandiswa, J.. Advancements in Catalyst Design for Biomass‐Derived Bio‐Oil Upgrading to Sustainable Biojet Fuel: A Comprehensive Review / J. Thandiswa, S. S. Ntalane, K. Lindiwe. – 2025.</w:t>
      </w:r>
      <w:bookmarkEnd w:id="953690"/>
    </w:p>
    <w:p>
      <w:pPr>
        <w:jc w:val="both"/>
        <w:spacing w:line="360" w:lineRule="auto"/>
      </w:pPr>
      <w:bookmarkStart w:name="_Source_51" w:id="700107"/>
      <w:r>
        <w:rPr>
          <w:rFonts w:ascii="Times New Roman" w:hAnsi="Times New Roman"/>
          <w:sz w:val="28"/>
        </w:rPr>
        <w:t xml:space="preserve">51. Mallory E. Thomas. A Review of the Molecular Aggregation of Small-Molecule Anion Sensors for Environmental Contaminates in Aqueous Media / E. Thomas Mallory, J. Lees Alistair. – 2025.</w:t>
      </w:r>
      <w:bookmarkEnd w:id="700107"/>
    </w:p>
    <w:p>
      <w:pPr>
        <w:jc w:val="both"/>
        <w:spacing w:line="360" w:lineRule="auto"/>
      </w:pPr>
      <w:bookmarkStart w:name="_Source_52" w:id="737051"/>
      <w:r>
        <w:rPr>
          <w:rFonts w:ascii="Times New Roman" w:hAnsi="Times New Roman"/>
          <w:sz w:val="28"/>
        </w:rPr>
        <w:t xml:space="preserve">52. Natalie, W.. A preliminary study into the use of canopy invertebrates and sampling techniques in relation to forest indicators in a fragmented Scottish woodland - application and management / W. Natalie. – 2024.</w:t>
      </w:r>
      <w:bookmarkEnd w:id="737051"/>
    </w:p>
    <w:p>
      <w:pPr>
        <w:jc w:val="both"/>
        <w:spacing w:line="360" w:lineRule="auto"/>
      </w:pPr>
      <w:bookmarkStart w:name="_Source_53" w:id="617939"/>
      <w:r>
        <w:rPr>
          <w:rFonts w:ascii="Times New Roman" w:hAnsi="Times New Roman"/>
          <w:sz w:val="28"/>
        </w:rPr>
        <w:t xml:space="preserve">53. Structural-Level Modeling of Biocrude Hydrodeoxygenation / A. Anton, B. Sandeep, G. Rafał, C. Jinwen. – 2025.</w:t>
      </w:r>
      <w:bookmarkEnd w:id="617939"/>
    </w:p>
    <w:p>
      <w:pPr>
        <w:jc w:val="both"/>
        <w:spacing w:line="360" w:lineRule="auto"/>
      </w:pPr>
      <w:bookmarkStart w:name="_Source_54" w:id="269514"/>
      <w:r>
        <w:rPr>
          <w:rFonts w:ascii="Times New Roman" w:hAnsi="Times New Roman"/>
          <w:sz w:val="28"/>
        </w:rPr>
        <w:t xml:space="preserve">54. AI-driven blind source separation for fast operational modal analysis of structures / A. H. Israel, G. Enrique, C. Gabriele, U. Filippo. – 2024.</w:t>
      </w:r>
      <w:bookmarkEnd w:id="269514"/>
    </w:p>
    <w:p>
      <w:pPr>
        <w:jc w:val="both"/>
        <w:spacing w:line="360" w:lineRule="auto"/>
      </w:pPr>
      <w:bookmarkStart w:name="_Source_55" w:id="122725"/>
      <w:r>
        <w:rPr>
          <w:rFonts w:ascii="Times New Roman" w:hAnsi="Times New Roman"/>
          <w:sz w:val="28"/>
        </w:rPr>
        <w:t xml:space="preserve">55. Directed Charge Transfer‐Driven Efficient Photocatalytic Hydrogen Production in Dual S‐Scheme WS &lt;sub&gt;2&lt;/sub&gt; /Co &lt;sub&gt;9&lt;/sub&gt; S &lt;sub&gt;8&lt;/sub&gt; /ZnCdS Heterojunction / F. Shuanghe, C. Zhi, P. Haijun [и др.]. – 2026.</w:t>
      </w:r>
      <w:bookmarkEnd w:id="122725"/>
    </w:p>
    <w:p>
      <w:pPr>
        <w:jc w:val="both"/>
        <w:spacing w:line="360" w:lineRule="auto"/>
      </w:pPr>
      <w:bookmarkStart w:name="_Source_56" w:id="796009"/>
      <w:r>
        <w:rPr>
          <w:rFonts w:ascii="Times New Roman" w:hAnsi="Times New Roman"/>
          <w:sz w:val="28"/>
        </w:rPr>
        <w:t xml:space="preserve">56. Cyperus esculentus var. sativus Adapts to Multiple Heavy Metal Stresses Through the Assembly of Endophytic Microbial Communities / L. Qiaofeng, L. June-Shiang, Z. Yaozhong, W. Xin. – 2025.</w:t>
      </w:r>
      <w:bookmarkEnd w:id="796009"/>
    </w:p>
    <w:p>
      <w:pPr>
        <w:jc w:val="both"/>
        <w:spacing w:line="360" w:lineRule="auto"/>
      </w:pPr>
      <w:bookmarkStart w:name="_Source_57" w:id="227102"/>
      <w:r>
        <w:rPr>
          <w:rFonts w:ascii="Times New Roman" w:hAnsi="Times New Roman"/>
          <w:sz w:val="28"/>
        </w:rPr>
        <w:t xml:space="preserve">57. Research highlights on characterization of briquettes produced from Gmelina arborea sawdust and different binders / B. Segun, O. Olorunnisola Abel, E. O. Temidayo, A. O. Musiliu. – 2024.</w:t>
      </w:r>
      <w:bookmarkEnd w:id="227102"/>
    </w:p>
    <w:p>
      <w:pPr>
        <w:jc w:val="both"/>
        <w:spacing w:line="360" w:lineRule="auto"/>
      </w:pPr>
      <w:bookmarkStart w:name="_Source_58" w:id="901796"/>
      <w:r>
        <w:rPr>
          <w:rFonts w:ascii="Times New Roman" w:hAnsi="Times New Roman"/>
          <w:sz w:val="28"/>
        </w:rPr>
        <w:t xml:space="preserve">58. Fungal community composition predicts forest carbon storage at a continental scale / A. Mark, T. Leho, D. V. Bruno [и др.]. – 2024.</w:t>
      </w:r>
      <w:bookmarkEnd w:id="901796"/>
    </w:p>
    <w:p>
      <w:pPr>
        <w:jc w:val="both"/>
        <w:spacing w:line="360" w:lineRule="auto"/>
      </w:pPr>
      <w:bookmarkStart w:name="_Source_59" w:id="961665"/>
      <w:r>
        <w:rPr>
          <w:rFonts w:ascii="Times New Roman" w:hAnsi="Times New Roman"/>
          <w:sz w:val="28"/>
        </w:rPr>
        <w:t xml:space="preserve">59. Intersectional Male-Centric and White-Centric Biases in Collective Concepts / H. Bailey April, W. Adina, P. Aashna, C. Andrei. – 2024.</w:t>
      </w:r>
      <w:bookmarkEnd w:id="961665"/>
    </w:p>
    <w:p>
      <w:pPr>
        <w:jc w:val="both"/>
        <w:spacing w:line="360" w:lineRule="auto"/>
      </w:pPr>
      <w:bookmarkStart w:name="_Source_60" w:id="175040"/>
      <w:r>
        <w:rPr>
          <w:rFonts w:ascii="Times New Roman" w:hAnsi="Times New Roman"/>
          <w:sz w:val="28"/>
        </w:rPr>
        <w:t xml:space="preserve">60. First Report of Rhizome Rot on Ginger Caused by &lt;i&gt;Serratia marcescens&lt;/i&gt; in Qinhuangdao, China / Z. Yu, M. Qingfang, Y. Hongfei [и др.]. – 2025.</w:t>
      </w:r>
      <w:bookmarkEnd w:id="175040"/>
    </w:p>
    <w:p>
      <w:r>
        <w:t/>
      </w:r>
    </w:p>
  </w:body>
</w:document>
</file>

<file path=word/footer1.xml><?xml version="1.0" encoding="utf-8"?>
<w:ftr xmlns:w="http://schemas.openxmlformats.org/wordprocessingml/2006/main">
  <w:p>
    <w:pPr>
      <w:jc w:val="center"/>
    </w:pPr>
    <w:r>
      <w:fldSimple w:instr="PAGE"/>
    </w:r>
  </w:p>
</w:ftr>
</file>

<file path=word/settings.xml><?xml version="1.0" encoding="utf-8"?>
<w:settings xmlns:w="http://schemas.openxmlformats.org/wordprocessingml/2006/main">
  <w:compat>
    <w:compatSetting w:name="compatibilityMode" w:uri="http://schemas.microsoft.com/office/word" w:val="15"/>
  </w:compat>
  <w:updateFields w:val="true"/>
</w:settings>
</file>

<file path=word/styles.xml><?xml version="1.0" encoding="utf-8"?>
<w:styles xmlns:w="http://schemas.openxmlformats.org/wordprocessingml/2006/main">
  <w:style w:type="paragraph" w:styleId="Heading1">
    <w:name w:val="Heading 1"/>
    <w:basedOn w:val="Normal"/>
    <w:next w:val="Normal"/>
    <w:pPr>
      <w:outlineLvl w:val="0"/>
    </w:pPr>
  </w:style>
  <w:style w:type="paragraph" w:styleId="Heading2">
    <w:name w:val="Heading 2"/>
    <w:basedOn w:val="Normal"/>
    <w:next w:val="Normal"/>
    <w:pPr>
      <w:outlineLvl w:val="1"/>
    </w:pPr>
  </w:style>
  <w:style w:type="paragraph" w:styleId="TOC1">
    <w:name w:val="TOC 1"/>
  </w:style>
  <w:style w:type="paragraph" w:styleId="TOC2">
    <w:name w:val="TOC 2"/>
  </w:style>
  <w:style w:type="character" w:styleId="Hyperlink">
    <w:name w:val="Hyperlink"/>
    <w:rPr>
      <w:color w:val="0000FF"/>
      <w:u w:val="single"/>
    </w:rPr>
  </w:style>
</w:styles>
</file>

<file path=word/_rels/document.xml.rels>&#65279;<?xml version="1.0" encoding="utf-8"?><Relationships xmlns="http://schemas.openxmlformats.org/package/2006/relationships"><Relationship Type="http://schemas.openxmlformats.org/officeDocument/2006/relationships/settings" Target="/word/settings.xml" Id="R88b11f7557e54c2d" /><Relationship Type="http://schemas.openxmlformats.org/officeDocument/2006/relationships/styles" Target="/word/styles.xml" Id="R477528e8c1964312" /><Relationship Type="http://schemas.openxmlformats.org/officeDocument/2006/relationships/footer" Target="/word/footer1.xml" Id="R3480537ae8cc4a46" /></Relationships>
</file>

<file path=docProps/app.xml><?xml version="1.0" encoding="utf-8"?>
<ap:Properties xmlns:vt="http://schemas.openxmlformats.org/officeDocument/2006/docPropsVTypes" xmlns:ap="http://schemas.openxmlformats.org/officeDocument/2006/extended-properties">
  <ap:TotalTime>484</ap:TotalTime>
  <ap:Application>Microsoft Office Word</ap:Application>
</ap:Properties>
</file>