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eba21c82d3054eb8" /><Relationship Type="http://schemas.openxmlformats.org/officeDocument/2006/relationships/extended-properties" Target="/docProps/app.xml" Id="R33e69bddfb2c42b5" /><Relationship Type="http://schemas.openxmlformats.org/package/2006/relationships/metadata/core-properties" Target="/package/services/metadata/core-properties/250a643291de497b87ad3fa7d31be99d.psmdcp" Id="Re4be1eee8ab04579" /></Relationships>
</file>

<file path=word/document.xml><?xml version="1.0" encoding="utf-8"?>
<w:document xmlns:w="http://schemas.openxmlformats.org/wordprocessingml/2006/main">
  <w:body>
    <w:sectPr>
      <w:pgSz w:w="11906" w:h="16838"/>
      <w:pgMar w:top="1134" w:right="567" w:bottom="1134" w:left="1701" w:header="708" w:footer="708" w:gutter="0"/>
      <w:footerReference xmlns:r="http://schemas.openxmlformats.org/officeDocument/2006/relationships" w:type="default" r:id="R97179d59cfd84b1f"/>
    </w:sectPr>
    <w:p>
      <w:pPr>
        <w:jc w:val="center"/>
        <w:spacing w:after="240"/>
        <w:outlineLvl w:val="0"/>
      </w:pPr>
      <w:r>
        <w:rPr>
          <w:rFonts w:ascii="Times New Roman" w:hAnsi="Times New Roman"/>
          <w:b/>
          <w:sz w:val="32"/>
        </w:rPr>
        <w:t xml:space="preserve">Организация антикоагулянтной терапии после ортопедических операций: аудит соблюдения протоколов и снижение геморрагических осложнений</w:t>
      </w:r>
    </w:p>
    <w:p>
      <w:r>
        <w:t/>
      </w:r>
    </w:p>
    <w:p>
      <w:pPr>
        <w:jc w:val="center"/>
        <w:spacing w:after="240"/>
      </w:pPr>
      <w:r>
        <w:rPr>
          <w:rFonts w:ascii="Times New Roman" w:hAnsi="Times New Roman"/>
          <w:b/>
          <w:sz w:val="28"/>
        </w:rPr>
        <w:t>СОДЕРЖАНИЕ</w:t>
      </w:r>
    </w:p>
    <w:p>
      <w:r>
        <w:fldChar w:fldCharType="begin"/>
      </w:r>
      <w:r>
        <w:instrText xml:space="preserve"> TOC \o "1-2" \h \z \u </w:instrText>
      </w:r>
      <w:r>
        <w:fldChar w:fldCharType="separate"/>
      </w:r>
    </w:p>
    <w:p>
      <w:pPr>
        <w:pStyle w:val="TOC1"/>
        <w:ind w:left="0"/>
      </w:pPr>
      <w:r>
        <w:t>Введение</w:t>
      </w:r>
    </w:p>
    <w:p>
      <w:pPr>
        <w:pStyle w:val="TOC2"/>
        <w:ind w:left="360"/>
      </w:pPr>
      <w:r>
        <w:t>Цель и задачи работы</w:t>
      </w:r>
    </w:p>
    <w:p>
      <w:pPr>
        <w:pStyle w:val="TOC2"/>
        <w:ind w:left="360"/>
      </w:pPr>
      <w:r>
        <w:t>Объект и предмет исследования</w:t>
      </w:r>
    </w:p>
    <w:p>
      <w:pPr>
        <w:pStyle w:val="TOC2"/>
        <w:ind w:left="360"/>
      </w:pPr>
      <w:r>
        <w:t>Методы исследования</w:t>
      </w:r>
    </w:p>
    <w:p>
      <w:pPr>
        <w:pStyle w:val="TOC1"/>
        <w:ind w:left="0"/>
      </w:pPr>
      <w:r>
        <w:t>Теоретические основы антикоагулянтной терапии в ортопедической практике</w:t>
      </w:r>
    </w:p>
    <w:p>
      <w:pPr>
        <w:pStyle w:val="TOC2"/>
        <w:ind w:left="360"/>
      </w:pPr>
      <w:r>
        <w:t>Патофизиология тромбообразования после ортопедических операций</w:t>
      </w:r>
    </w:p>
    <w:p>
      <w:pPr>
        <w:pStyle w:val="TOC2"/>
        <w:ind w:left="360"/>
      </w:pPr>
      <w:r>
        <w:t>Классификация и механизмы действия антикоагулянтов</w:t>
      </w:r>
    </w:p>
    <w:p>
      <w:pPr>
        <w:pStyle w:val="TOC2"/>
        <w:ind w:left="360"/>
      </w:pPr>
      <w:r>
        <w:t>Современные клинические рекомендации по профилактике венозных тромбоэмболических осложнений</w:t>
      </w:r>
    </w:p>
    <w:p>
      <w:pPr>
        <w:pStyle w:val="TOC2"/>
        <w:ind w:left="360"/>
      </w:pPr>
      <w:r>
        <w:t>Факторы риска тромбоэмболических и геморрагических осложнений</w:t>
      </w:r>
    </w:p>
    <w:p>
      <w:pPr>
        <w:pStyle w:val="TOC2"/>
        <w:ind w:left="360"/>
      </w:pPr>
      <w:r>
        <w:t>Особенности антикоагулянтной терапии при различных ортопедических вмешательствах</w:t>
      </w:r>
    </w:p>
    <w:p>
      <w:pPr>
        <w:pStyle w:val="TOC1"/>
        <w:ind w:left="0"/>
      </w:pPr>
      <w:r>
        <w:t>Протоколы антикоагулянтной терапии и методология аудита</w:t>
      </w:r>
    </w:p>
    <w:p>
      <w:pPr>
        <w:pStyle w:val="TOC2"/>
        <w:ind w:left="360"/>
      </w:pPr>
      <w:r>
        <w:t>Анализ действующих протоколов антикоагулянтной терапии в ортопедии</w:t>
      </w:r>
    </w:p>
    <w:p>
      <w:pPr>
        <w:pStyle w:val="TOC2"/>
        <w:ind w:left="360"/>
      </w:pPr>
      <w:r>
        <w:t>Методология проведения клинического аудита соблюдения протоколов</w:t>
      </w:r>
    </w:p>
    <w:p>
      <w:pPr>
        <w:pStyle w:val="TOC2"/>
        <w:ind w:left="360"/>
      </w:pPr>
      <w:r>
        <w:t>Критерии оценки эффективности и безопасности антикоагулянтной терапии</w:t>
      </w:r>
    </w:p>
    <w:p>
      <w:pPr>
        <w:pStyle w:val="TOC2"/>
        <w:ind w:left="360"/>
      </w:pPr>
      <w:r>
        <w:t>Система мониторинга и документирования назначений антикоагулянтов</w:t>
      </w:r>
    </w:p>
    <w:p>
      <w:pPr>
        <w:pStyle w:val="TOC2"/>
        <w:ind w:left="360"/>
      </w:pPr>
      <w:r>
        <w:t>Инструменты выявления отклонений от протоколов</w:t>
      </w:r>
    </w:p>
    <w:p>
      <w:pPr>
        <w:pStyle w:val="TOC1"/>
        <w:ind w:left="0"/>
      </w:pPr>
      <w:r>
        <w:t>Практическое исследование: аудит соблюдения протоколов антикоагулянтной терапии</w:t>
      </w:r>
    </w:p>
    <w:p>
      <w:pPr>
        <w:pStyle w:val="TOC2"/>
        <w:ind w:left="360"/>
      </w:pPr>
      <w:r>
        <w:t>Характеристика базы исследования и методика сбора данных</w:t>
      </w:r>
    </w:p>
    <w:p>
      <w:pPr>
        <w:pStyle w:val="TOC2"/>
        <w:ind w:left="360"/>
      </w:pPr>
      <w:r>
        <w:t>Анализ соблюдения протоколов назначения антикоагулянтов</w:t>
      </w:r>
    </w:p>
    <w:p>
      <w:pPr>
        <w:pStyle w:val="TOC2"/>
        <w:ind w:left="360"/>
      </w:pPr>
      <w:r>
        <w:t>Оценка частоты и структуры геморрагических осложнений</w:t>
      </w:r>
    </w:p>
    <w:p>
      <w:pPr>
        <w:pStyle w:val="TOC2"/>
        <w:ind w:left="360"/>
      </w:pPr>
      <w:r>
        <w:t>Выявление факторов, влияющих на развитие кровотечений</w:t>
      </w:r>
    </w:p>
    <w:p>
      <w:pPr>
        <w:pStyle w:val="TOC2"/>
        <w:ind w:left="360"/>
      </w:pPr>
      <w:r>
        <w:t>Анализ взаимосвязи между отклонениями от протоколов и осложнениями</w:t>
      </w:r>
    </w:p>
    <w:p>
      <w:pPr>
        <w:pStyle w:val="TOC1"/>
        <w:ind w:left="0"/>
      </w:pPr>
      <w:r>
        <w:t>Разработка мероприятий по снижению геморрагических осложнений</w:t>
      </w:r>
    </w:p>
    <w:p>
      <w:pPr>
        <w:pStyle w:val="TOC2"/>
        <w:ind w:left="360"/>
      </w:pPr>
      <w:r>
        <w:t>Оптимизация протоколов антикоагулянтной терапии на основе результатов аудита</w:t>
      </w:r>
    </w:p>
    <w:p>
      <w:pPr>
        <w:pStyle w:val="TOC2"/>
        <w:ind w:left="360"/>
      </w:pPr>
      <w:r>
        <w:t>Система стратификации риска кровотечений у пациентов</w:t>
      </w:r>
    </w:p>
    <w:p>
      <w:pPr>
        <w:pStyle w:val="TOC2"/>
        <w:ind w:left="360"/>
      </w:pPr>
      <w:r>
        <w:t>Образовательные программы для медицинского персонала</w:t>
      </w:r>
    </w:p>
    <w:p>
      <w:pPr>
        <w:pStyle w:val="TOC2"/>
        <w:ind w:left="360"/>
      </w:pPr>
      <w:r>
        <w:t>Алгоритмы мониторинга и коррекции антикоагулянтной терапии</w:t>
      </w:r>
    </w:p>
    <w:p>
      <w:pPr>
        <w:pStyle w:val="TOC2"/>
        <w:ind w:left="360"/>
      </w:pPr>
      <w:r>
        <w:t>Система контроля качества и индикаторы эффективности</w:t>
      </w:r>
    </w:p>
    <w:p>
      <w:pPr>
        <w:pStyle w:val="TOC1"/>
        <w:ind w:left="0"/>
      </w:pPr>
      <w:r>
        <w:t>Заключение</w:t>
      </w:r>
    </w:p>
    <w:p>
      <w:pPr>
        <w:pStyle w:val="TOC2"/>
        <w:ind w:left="360"/>
      </w:pPr>
      <w:r>
        <w:t>Основные результаты исследования</w:t>
      </w:r>
    </w:p>
    <w:p>
      <w:pPr>
        <w:pStyle w:val="TOC2"/>
        <w:ind w:left="360"/>
      </w:pPr>
      <w:r>
        <w:t>Практическая значимость работы и перспективы внедрения</w:t>
      </w:r>
    </w:p>
    <w:p>
      <w:pPr>
        <w:pStyle w:val="TOC1"/>
        <w:ind w:left="0"/>
      </w:pPr>
      <w:r>
        <w:t>Список использованных источников</w:t>
      </w:r>
    </w:p>
    <w:p>
      <w:r>
        <w:fldChar w:fldCharType="end"/>
      </w:r>
    </w:p>
    <w:p>
      <w:r>
        <w:t/>
      </w:r>
    </w:p>
    <w:p>
      <w:r>
        <w:br w:type="page"/>
      </w:r>
    </w:p>
    <w:p>
      <w:pPr>
        <w:pStyle w:val="Heading1"/>
        <w:jc w:val="center"/>
        <w:spacing w:before="240" w:after="240"/>
      </w:pPr>
      <w:r>
        <w:rPr>
          <w:rFonts w:ascii="Times New Roman" w:hAnsi="Times New Roman"/>
          <w:b/>
          <w:sz w:val="28"/>
        </w:rPr>
        <w:t xml:space="preserve">ВВЕДЕНИЕ</w:t>
      </w:r>
    </w:p>
    <w:p>
      <w:pPr>
        <w:jc w:val="both"/>
        <w:ind w:firstLine="708"/>
        <w:spacing w:line="360" w:lineRule="auto"/>
      </w:pPr>
      <w:r>
        <w:rPr>
          <w:rFonts w:ascii="Times New Roman" w:hAnsi="Times New Roman"/>
          <w:sz w:val="28"/>
        </w:rPr>
        <w:t xml:space="preserve">Ортопедические операции, включающие эндопротезирование крупных суставов, реконструктивные вмешательства на позвоночнике и травматологические процедуры, занимают значительное место в структуре современной хирургической помощи. Согласно прогнозам, к 2030 году количество операций по замене коленного и тазобедренного суставов увеличится в несколько раз по сравнению с предыдущим десятилетием, что обусловлено старением населения и повышением доступности высокотехнологичной медицинской помощи</w:t>
      </w:r>
      <w:hyperlink w:anchor="_Source_3">
        <w:r>
          <w:rPr>
            <w:rFonts w:ascii="Times New Roman" w:hAnsi="Times New Roman"/>
            <w:sz w:val="28"/>
            <w:rStyle w:val="Hyperlink"/>
          </w:rPr>
          <w:t>[3]</w:t>
        </w:r>
      </w:hyperlink>
      <w:r>
        <w:rPr>
          <w:rFonts w:ascii="Times New Roman" w:hAnsi="Times New Roman"/>
          <w:sz w:val="28"/>
        </w:rPr>
        <w:t xml:space="preserve">. Параллельно с ростом числа вмешательств возрастает и актуальность профилактики послеоперационных осложнений, среди которых венозные тромбоэмболические осложнения (ВТЭО) занимают особое место как потенциально жизнеугрожающие состояния</w:t>
      </w:r>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Венозная тромбоэмболия, включающая тромбоз глубоких вен (ТГВ) и тромбоэмболию легочной артерии (ТЭЛА), является серьезным осложнением после крупных ортопедических операций. Без адекватной профилактики частота развития ТГВ после эндопротезирования коленного или тазобедренного сустава может достигать значительных показателей, при этом симптоматические формы встречаются в 0,2-2% случаев</w:t>
      </w:r>
      <w:hyperlink w:anchor="_Source_4">
        <w:r>
          <w:rPr>
            <w:rFonts w:ascii="Times New Roman" w:hAnsi="Times New Roman"/>
            <w:sz w:val="28"/>
            <w:rStyle w:val="Hyperlink"/>
          </w:rPr>
          <w:t>[4]</w:t>
        </w:r>
      </w:hyperlink>
      <w:r>
        <w:rPr>
          <w:rFonts w:ascii="Times New Roman" w:hAnsi="Times New Roman"/>
          <w:sz w:val="28"/>
        </w:rPr>
        <w:t xml:space="preserve">. Применение антикоагулянтной терапии признано стандартом профилактики ВТЭО в послеоперационном периоде, однако выбор оптимального препарата, дозировки и длительности применения остается предметом дискуссий</w:t>
      </w:r>
      <w:hyperlink w:anchor="_Source_1">
        <w:r>
          <w:rPr>
            <w:rFonts w:ascii="Times New Roman" w:hAnsi="Times New Roman"/>
            <w:sz w:val="28"/>
            <w:rStyle w:val="Hyperlink"/>
          </w:rPr>
          <w:t>[1]</w:t>
        </w:r>
      </w:hyperlink>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Современная антикоагулянтная терапия в ортопедической практике представлена широким спектром препаратов: от традиционных антиагрегантов (аспирин) и антагонистов витамина К (варфарин) до прямых пероральных антикоагулянтов (ПОАК), включающих ингибиторы фактора Xa (апиксабан, ривароксабан, эдоксабан) и ингибиторы тромбина (дабигатран). Преимущества ПОАК заключаются в быстром начале действия, короткой продолжительности полувыведения и отсутствии необходимости в рутинном лабораторном мониторинге, что существенно упрощает периоперационное ведение пациентов по сравнению с варфарином</w:t>
      </w:r>
      <w:hyperlink w:anchor="_Source_1">
        <w:r>
          <w:rPr>
            <w:rFonts w:ascii="Times New Roman" w:hAnsi="Times New Roman"/>
            <w:sz w:val="28"/>
            <w:rStyle w:val="Hyperlink"/>
          </w:rPr>
          <w:t>[1]</w:t>
        </w:r>
      </w:hyperlink>
      <w:r>
        <w:rPr>
          <w:rFonts w:ascii="Times New Roman" w:hAnsi="Times New Roman"/>
          <w:sz w:val="28"/>
        </w:rPr>
        <w:t xml:space="preserve">. Однако применение любых антикоагулянтов сопряжено с риском геморрагических осложнений, которые могут варьировать от незначительных кровотечений до жизнеугрожающих состояний, включая внутрисуставные гематомы, инфицирование протеза и необходимость ревизионных вмешательств</w:t>
      </w:r>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Ключевым аспектом безопасного применения антикоагулянтов является соблюдение клинических протоколов, учитывающих индивидуальные характеристики пациента, тип и объем хирургического вмешательства, функцию почек и риск кровотечений. Международные рекомендации, включая руководства Американской коллегии торакальных врачей, предлагают дифференцированный подход к периоперационному управлению антикоагулянтной терапией в зависимости от риска кровотечения и тромбоэмболических осложнений. Несмотря на наличие четких протоколов, в реальной клинической практике нередко наблюдаются отклонения от рекомендованных схем, что может быть обусловлено недостаточной осведомленностью медицинского персонала, организационными проблемами или индивидуальными особенностями клинических случаев</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Проблема геморрагических осложнений антикоагулянтной терапии приобретает особую значимость в контексте растущего числа пациентов с множественными факторами риска кровотечений. К таким факторам относятся пожилой возраст, артериальная гипертензия, нарушение функции почек, сопутствующая терапия антиагрегантами или нестероидными противовоспалительными препаратами, а также злоупотребление алкоголем. Оценка риска кровотечений с использованием валидированных шкал, таких как HAS-BLED, позволяет стратифицировать пациентов и корректировать интенсивность антикоагулянтной терапии</w:t>
      </w:r>
      <w:hyperlink w:anchor="_Source_2">
        <w:r>
          <w:rPr>
            <w:rFonts w:ascii="Times New Roman" w:hAnsi="Times New Roman"/>
            <w:sz w:val="28"/>
            <w:rStyle w:val="Hyperlink"/>
          </w:rPr>
          <w:t>[2]</w:t>
        </w:r>
      </w:hyperlink>
      <w:r>
        <w:rPr>
          <w:rFonts w:ascii="Times New Roman" w:hAnsi="Times New Roman"/>
          <w:sz w:val="28"/>
        </w:rPr>
        <w:t xml:space="preserve">. Однако даже при тщательной оценке рисков частота больших кровотечений в послеоперационном периоде может достигать 2% и более при высокорисковых вмешательствах</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Аудит соблюдения клинических протоколов представляет собой эффективный инструмент повышения качества медицинской помощи и снижения частоты осложнений. Систематический анализ практики назначения антикоагулянтов, сроков их отмены перед операцией и возобновления в послеоперационном периоде позволяет выявить системные проблемы и разработать целенаправленные меры по их устранению. В условиях современного здравоохранения, характеризующегося стремлением к персонализированной медицине и оптимизации затрат, такой подход приобретает особую актуальность, позволяя балансировать между эффективностью профилактики тромбоэмболических осложнений и минимизацией рисков кровотечений</w:t>
      </w:r>
      <w:hyperlink w:anchor="_Source_2">
        <w:r>
          <w:rPr>
            <w:rFonts w:ascii="Times New Roman" w:hAnsi="Times New Roman"/>
            <w:sz w:val="28"/>
            <w:rStyle w:val="Hyperlink"/>
          </w:rPr>
          <w:t>[2]</w:t>
        </w:r>
      </w:hyperlink>
      <w:hyperlink w:anchor="_Source_3">
        <w:r>
          <w:rPr>
            <w:rFonts w:ascii="Times New Roman" w:hAnsi="Times New Roman"/>
            <w:sz w:val="28"/>
            <w:rStyle w:val="Hyperlink"/>
          </w:rPr>
          <w:t>[3]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Цель и задачи работы</w:t>
      </w:r>
    </w:p>
    <w:p>
      <w:pPr>
        <w:jc w:val="both"/>
        <w:ind w:firstLine="708"/>
        <w:spacing w:line="360" w:lineRule="auto"/>
      </w:pPr>
      <w:r>
        <w:rPr>
          <w:rFonts w:ascii="Times New Roman" w:hAnsi="Times New Roman"/>
          <w:sz w:val="28"/>
        </w:rPr>
        <w:t xml:space="preserve">Целью настоящей работы является анализ организации антикоагулянтной терапии после ортопедических операций, проведение аудита соблюдения клинических протоколов и разработка рекомендаций по снижению частоты геморрагических осложнений.</w:t>
      </w:r>
    </w:p>
    <w:p>
      <w:pPr>
        <w:jc w:val="both"/>
        <w:ind w:firstLine="708"/>
        <w:spacing w:line="360" w:lineRule="auto"/>
      </w:pPr>
      <w:r>
        <w:rPr>
          <w:rFonts w:ascii="Times New Roman" w:hAnsi="Times New Roman"/>
          <w:sz w:val="28"/>
        </w:rPr>
        <w:t xml:space="preserve">Для достижения поставленной цели определены следующие задачи:</w:t>
      </w:r>
    </w:p>
    <w:p>
      <w:pPr>
        <w:ind w:left="708" w:hanging="360"/>
        <w:spacing w:line="360"/>
      </w:pPr>
      <w:r>
        <w:rPr>
          <w:rFonts w:ascii="Times New Roman"/>
          <w:sz w:val="28"/>
        </w:rPr>
        <w:t>• Провести обзор современных подходов к антикоагулянтной профилактике венозных тромбоэмболических осложнений после ортопедических операций;</w:t>
      </w:r>
    </w:p>
    <w:p>
      <w:pPr>
        <w:ind w:left="708" w:hanging="360"/>
        <w:spacing w:line="360"/>
      </w:pPr>
      <w:r>
        <w:rPr>
          <w:rFonts w:ascii="Times New Roman"/>
          <w:sz w:val="28"/>
        </w:rPr>
        <w:t>• Проанализировать существующие клинические протоколы и рекомендации по периоперационному управлению антикоагулянтной терапией;</w:t>
      </w:r>
    </w:p>
    <w:p>
      <w:pPr>
        <w:ind w:left="708" w:hanging="360"/>
        <w:spacing w:line="360"/>
      </w:pPr>
      <w:r>
        <w:rPr>
          <w:rFonts w:ascii="Times New Roman"/>
          <w:sz w:val="28"/>
        </w:rPr>
        <w:t>• Выполнить аудит соблюдения протоколов назначения антикоагулянтов в реальной клинической практике ортопедического отделения;</w:t>
      </w:r>
    </w:p>
    <w:p>
      <w:pPr>
        <w:ind w:left="708" w:hanging="360"/>
        <w:spacing w:line="360"/>
      </w:pPr>
      <w:r>
        <w:rPr>
          <w:rFonts w:ascii="Times New Roman"/>
          <w:sz w:val="28"/>
        </w:rPr>
        <w:t>• Оценить частоту и структуру геморрагических осложнений антикоагулянтной терапии в послеоперационном периоде;</w:t>
      </w:r>
    </w:p>
    <w:p>
      <w:pPr>
        <w:ind w:left="708" w:hanging="360"/>
        <w:spacing w:line="360"/>
      </w:pPr>
      <w:r>
        <w:rPr>
          <w:rFonts w:ascii="Times New Roman"/>
          <w:sz w:val="28"/>
        </w:rPr>
        <w:t>• Идентифицировать факторы риска развития кровотечений и отклонений от клинических протоколов;</w:t>
      </w:r>
    </w:p>
    <w:p>
      <w:pPr>
        <w:ind w:left="708" w:hanging="360"/>
        <w:spacing w:line="360"/>
      </w:pPr>
      <w:r>
        <w:rPr>
          <w:rFonts w:ascii="Times New Roman"/>
          <w:sz w:val="28"/>
        </w:rPr>
        <w:t>• Разработать практические рекомендации по оптимизации организации антикоагулянтной терапии и снижению частоты геморрагических осложнений.</w:t>
      </w:r>
    </w:p>
    <w:p>
      <w:pPr>
        <w:pStyle w:val="Heading2"/>
        <w:spacing w:before="240" w:after="120"/>
      </w:pPr>
      <w:r>
        <w:rPr>
          <w:rFonts w:ascii="Times New Roman" w:hAnsi="Times New Roman"/>
          <w:b/>
          <w:sz w:val="28"/>
        </w:rPr>
        <w:t xml:space="preserve">Объект и предмет исследования</w:t>
      </w:r>
    </w:p>
    <w:p>
      <w:pPr>
        <w:jc w:val="both"/>
        <w:ind w:firstLine="708"/>
        <w:spacing w:line="360" w:lineRule="auto"/>
      </w:pPr>
      <w:r>
        <w:rPr>
          <w:rFonts w:ascii="Times New Roman" w:hAnsi="Times New Roman"/>
          <w:sz w:val="28"/>
        </w:rPr>
        <w:t xml:space="preserve">Объектом исследования является система организации антикоагулянтной терапии у пациентов, перенесших ортопедические операции, включая эндопротезирование крупных суставов, реконструктивные вмешательства на позвоночнике и другие крупные ортопедические процедуры.</w:t>
      </w:r>
    </w:p>
    <w:p>
      <w:pPr>
        <w:jc w:val="both"/>
        <w:ind w:firstLine="708"/>
        <w:spacing w:line="360" w:lineRule="auto"/>
      </w:pPr>
      <w:r>
        <w:rPr>
          <w:rFonts w:ascii="Times New Roman" w:hAnsi="Times New Roman"/>
          <w:sz w:val="28"/>
        </w:rPr>
        <w:t xml:space="preserve">Предметом исследования выступают клинические протоколы назначения и отмены антикоагулянтов в периоперационном периоде, практика их применения медицинским персоналом, а также частота и характер геморрагических осложнений, связанных с антикоагулянтной терапией. Особое внимание уделяется анализу соответствия реальной клинической практики современным рекомендациям и протоколам, факторам, влияющим на приверженность медицинского персонала стандартизированным подходам, а также организационным аспектам, определяющим качество и безопасность антикоагулянтной профилактики.</w:t>
      </w:r>
    </w:p>
    <w:p>
      <w:pPr>
        <w:pStyle w:val="Heading2"/>
        <w:spacing w:before="240" w:after="120"/>
      </w:pPr>
      <w:r>
        <w:rPr>
          <w:rFonts w:ascii="Times New Roman" w:hAnsi="Times New Roman"/>
          <w:b/>
          <w:sz w:val="28"/>
        </w:rPr>
        <w:t xml:space="preserve">Методы исследования</w:t>
      </w:r>
    </w:p>
    <w:p>
      <w:pPr>
        <w:jc w:val="both"/>
        <w:ind w:firstLine="708"/>
        <w:spacing w:line="360" w:lineRule="auto"/>
      </w:pPr>
      <w:r>
        <w:rPr>
          <w:rFonts w:ascii="Times New Roman" w:hAnsi="Times New Roman"/>
          <w:sz w:val="28"/>
        </w:rPr>
        <w:t xml:space="preserve">Для решения поставленных задач в работе используется комплекс методов исследования, включающий теоретические и эмпирические подходы.</w:t>
      </w:r>
    </w:p>
    <w:p>
      <w:pPr>
        <w:jc w:val="both"/>
        <w:ind w:firstLine="708"/>
        <w:spacing w:line="360" w:lineRule="auto"/>
      </w:pPr>
      <w:r>
        <w:rPr>
          <w:rFonts w:ascii="Times New Roman" w:hAnsi="Times New Roman"/>
          <w:sz w:val="28"/>
        </w:rPr>
        <w:t xml:space="preserve">Теоретические методы включают систематический обзор научной литературы и клинических рекомендаций по проблеме антикоагулянтной профилактики ВТЭО в ортопедической хирургии, анализ международных и национальных протоколов периоперационного управления антикоагулянтной терапией, сравнительный анализ различных антикоагулянтных стратегий и их эффективности.</w:t>
      </w:r>
    </w:p>
    <w:p>
      <w:pPr>
        <w:jc w:val="both"/>
        <w:ind w:firstLine="708"/>
        <w:spacing w:line="360" w:lineRule="auto"/>
      </w:pPr>
      <w:r>
        <w:rPr>
          <w:rFonts w:ascii="Times New Roman" w:hAnsi="Times New Roman"/>
          <w:sz w:val="28"/>
        </w:rPr>
        <w:t xml:space="preserve">Эмпирические методы исследования предполагают проведение ретроспективного анализа медицинской документации пациентов ортопедического отделения, перенесших крупные операции в течение определенного периода. Планируется изучение историй болезни с целью оценки соблюдения протоколов назначения антикоагулянтов, анализа сроков отмены препаратов перед операцией и возобновления терапии в послеоперационном периоде, выбора конкретных препаратов и их дозировок. Особое внимание будет уделено документированию геморрагических осложнений, их тяжести и связи с проводимой антикоагулянтной терапией.</w:t>
      </w:r>
    </w:p>
    <w:p>
      <w:pPr>
        <w:jc w:val="both"/>
        <w:ind w:firstLine="708"/>
        <w:spacing w:line="360" w:lineRule="auto"/>
      </w:pPr>
      <w:r>
        <w:rPr>
          <w:rFonts w:ascii="Times New Roman" w:hAnsi="Times New Roman"/>
          <w:sz w:val="28"/>
        </w:rPr>
        <w:t xml:space="preserve">Методы статистического анализа будут применены для обработки полученных данных, включая расчет частоты осложнений, оценку факторов риска с использованием методов корреляционного и регрессионного анализа, сравнение групп пациентов с различными схемами антикоагулянтной профилактики. Для оценки клинической значимости результатов будут использованы соответствующие статистические критерии с определением уровня достоверности различий.</w:t>
      </w:r>
    </w:p>
    <w:p>
      <w:pPr>
        <w:jc w:val="both"/>
        <w:ind w:firstLine="708"/>
        <w:spacing w:line="360" w:lineRule="auto"/>
      </w:pPr>
      <w:r>
        <w:rPr>
          <w:rFonts w:ascii="Times New Roman" w:hAnsi="Times New Roman"/>
          <w:sz w:val="28"/>
        </w:rPr>
        <w:t xml:space="preserve">Качественные методы исследования могут включать анкетирование или интервьюирование медицинского персонала для выявления барьеров в соблюдении клинических протоколов, оценки уровня знаний о современных подходах к антикоагулянтной терапии и организационных проблем, препятствующих оптимальному ведению пациентов.</w:t>
      </w:r>
    </w:p>
    <w:p>
      <w:r>
        <w:t/>
      </w:r>
    </w:p>
    <w:p>
      <w:pPr>
        <w:pStyle w:val="Heading1"/>
        <w:jc w:val="center"/>
        <w:spacing w:before="240" w:after="240"/>
      </w:pPr>
      <w:r>
        <w:rPr>
          <w:rFonts w:ascii="Times New Roman" w:hAnsi="Times New Roman"/>
          <w:b/>
          <w:sz w:val="28"/>
        </w:rPr>
        <w:t xml:space="preserve">ТЕОРЕТИЧЕСКИЕ ОСНОВЫ АНТИКОАГУЛЯНТНОЙ ТЕРАПИИ В ОРТОПЕДИЧЕСКОЙ ПРАКТИКЕ</w:t>
      </w:r>
    </w:p>
    <w:p>
      <w:pPr>
        <w:jc w:val="both"/>
        <w:ind w:firstLine="708"/>
        <w:spacing w:line="360" w:lineRule="auto"/>
      </w:pPr>
      <w:r>
        <w:rPr>
          <w:rFonts w:ascii="Times New Roman" w:hAnsi="Times New Roman"/>
          <w:sz w:val="28"/>
        </w:rPr>
        <w:t xml:space="preserve">Ортопедические операции, особенно вмешательства на крупных суставах нижних конечностей, сопряжены с высоким риском развития венозных тромбоэмболических осложнений (ВТЭО). Понимание патофизиологических механизмов тромбообразования и принципов действия антикоагулянтов является фундаментальным требованием для организации эффективной и безопасной профилактической терапии в послеоперационном периоде.</w:t>
      </w:r>
    </w:p>
    <w:p>
      <w:pPr>
        <w:pStyle w:val="Heading2"/>
        <w:spacing w:before="240" w:after="120"/>
      </w:pPr>
      <w:r>
        <w:rPr>
          <w:rFonts w:ascii="Times New Roman" w:hAnsi="Times New Roman"/>
          <w:b/>
          <w:sz w:val="28"/>
        </w:rPr>
        <w:t xml:space="preserve">Патофизиология тромбообразования после ортопедических операций</w:t>
      </w:r>
    </w:p>
    <w:p>
      <w:pPr>
        <w:jc w:val="both"/>
        <w:ind w:firstLine="708"/>
        <w:spacing w:line="360" w:lineRule="auto"/>
      </w:pPr>
      <w:r>
        <w:rPr>
          <w:rFonts w:ascii="Times New Roman" w:hAnsi="Times New Roman"/>
          <w:sz w:val="28"/>
        </w:rPr>
        <w:t xml:space="preserve">Венозный тромбоз после ортопедических вмешательств развивается в результате сложного взаимодействия множественных факторов, которые классически описываются триадой Вирхова: повреждение эндотелия сосудов, нарушение венозного кровотока (стаз) и гиперкоагуляция. В контексте ортопедической хирургии каждый из этих компонентов имеет специфические особенности проявления</w:t>
      </w:r>
      <w:hyperlink w:anchor="_Source_5">
        <w:r>
          <w:rPr>
            <w:rFonts w:ascii="Times New Roman" w:hAnsi="Times New Roman"/>
            <w:sz w:val="28"/>
            <w:rStyle w:val="Hyperlink"/>
          </w:rPr>
          <w:t>[5]</w:t>
        </w:r>
      </w:hyperlink>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Хирургическая травма при ортопедических операциях приводит к массивному высвобождению тканевого фактора из поврежденных тканей, включая костный мозг, мышцы и соединительнотканные структуры. Тканевой фактор инициирует внешний путь коагуляционного каскада, связываясь с фактором VII и активируя его. Это запускает цепь последовательных ферментативных реакций, приводящих к генерации тромбина и формированию фибриновых нитей</w:t>
      </w:r>
      <w:hyperlink w:anchor="_Source_5">
        <w:r>
          <w:rPr>
            <w:rFonts w:ascii="Times New Roman" w:hAnsi="Times New Roman"/>
            <w:sz w:val="28"/>
            <w:rStyle w:val="Hyperlink"/>
          </w:rPr>
          <w:t>[5]</w:t>
        </w:r>
      </w:hyperlink>
      <w:r>
        <w:rPr>
          <w:rFonts w:ascii="Times New Roman" w:hAnsi="Times New Roman"/>
          <w:sz w:val="28"/>
        </w:rPr>
        <w:t xml:space="preserve">. Исследования показывают, что после эндопротезирования тазобедренного и коленного суставов наблюдается устойчивое повышение уровня тканевого фактора в системном кровотоке, сохраняющееся в течение нескольких недель после операции</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Венозный стаз, обусловленный иммобилизацией пациента в послеоперационном периоде, создает условия для накопления активированных факторов свертывания в локальных участках венозного русла. Отсутствие физиологического «вымывания» прокоагулянтных факторов потоком крови способствует формированию микротромбов, которые могут служить основой для развития клинически значимого тромбоза глубоких вен (ТГВ). Дополнительным фактором является прямое механическое повреждение венозных сосудов во время хирургических манипуляций, особенно при операциях на тазобедренном суставе, где возможна компрессия или травматизация подвздошных вен</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Гиперкоагуляционное состояние после ортопедических операций характеризуется не только активацией свертывающей системы, но и относительным подавлением естественных антикоагулянтных механизмов. Наблюдается снижение активности протеина C и протеина S, а также уменьшение концентрации антитромбина III. Одновременно происходит угнетение фибринолитической системы за счет повышения уровня ингибитора активатора плазминогена-1 (PAI-1), что замедляет физиологическое растворение формирующихся тромбов</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Воспалительный ответ на хирургическую травму также вносит существенный вклад в протромботическое состояние. Провоспалительные цитокины, такие как интерлейкин-6 и фактор некроза опухоли-альфа, стимулируют экспрессию тканевого фактора на моноцитах и эндотелиальных клетках, усиливая коагуляционный потенциал. Активированные тромбоциты, высвобождая содержимое своих гранул, не только участвуют в образовании тромба, но и модулируют воспалительные процессы, создавая порочный круг тромбовоспаления</w:t>
      </w:r>
      <w:hyperlink w:anchor="_Source_5">
        <w:r>
          <w:rPr>
            <w:rFonts w:ascii="Times New Roman" w:hAnsi="Times New Roman"/>
            <w:sz w:val="28"/>
            <w:rStyle w:val="Hyperlink"/>
          </w:rPr>
          <w:t>[5]</w:t>
        </w:r>
      </w:hyperlink>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Важно отметить принципиальное различие между механизмами артериального и венозного тромбоза. Артериальные тромбы формируются преимущественно в условиях высокого давления и скорости кровотока, инициируются повреждением эндотелия и атеросклеротическими бляшками, и состоят главным образом из агрегированных тромбоцитов («белые тромбы»). Напротив, венозные тромбы образуются в условиях низкого давления и замедленного кровотока, где ведущую роль играет активация коагуляционного каскада с образованием фибрина и захватом эритроцитов («красные тромбы»). Это различие имеет критическое значение для выбора антитромботической терапии: антиагреганты (например, клопидогрел) эффективны при артериальном тромбозе, но не предотвращают венозные тромбоэмболии, для профилактики которых необходимы антикоагулянты, воздействующие на факторы свертывания</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Риск развития ВТЭО после ортопедических операций варьирует в зависимости от типа вмешательства. Без профилактики частота ТГВ после тотального эндопротезирования тазобедренного и коленного суставов исторически достигала 40-60%, а по некоторым данным до 80%, при этом частота тромбоэмболии легочной артерии (ТЭЛА) составляла 1,5-3%. Применение современных протоколов антикоагулянтной профилактики позволило снизить частоту симптоматических ВТЭО до 0,6-1,5%</w:t>
      </w:r>
      <w:hyperlink w:anchor="_Source_6">
        <w:r>
          <w:rPr>
            <w:rFonts w:ascii="Times New Roman" w:hAnsi="Times New Roman"/>
            <w:sz w:val="28"/>
            <w:rStyle w:val="Hyperlink"/>
          </w:rPr>
          <w:t>[6]</w:t>
        </w:r>
      </w:hyperlink>
      <w:r>
        <w:rPr>
          <w:rFonts w:ascii="Times New Roman" w:hAnsi="Times New Roman"/>
          <w:sz w:val="28"/>
        </w:rPr>
        <w:t xml:space="preserve">. При травмах ахиллова сухожилия, требующих иммобилизации, частота ТГВ может достигать 9-34%, а ТЭЛА – до 3%, что подчеркивает необходимость профилактики даже при относительно малых ортопедических вмешательствах</w:t>
      </w:r>
      <w:hyperlink w:anchor="_Source_8">
        <w:r>
          <w:rPr>
            <w:rFonts w:ascii="Times New Roman" w:hAnsi="Times New Roman"/>
            <w:sz w:val="28"/>
            <w:rStyle w:val="Hyperlink"/>
          </w:rPr>
          <w:t>[8]</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Классификация и механизмы действия антикоагулянтов</w:t>
      </w:r>
    </w:p>
    <w:p>
      <w:pPr>
        <w:jc w:val="both"/>
        <w:ind w:firstLine="708"/>
        <w:spacing w:line="360" w:lineRule="auto"/>
      </w:pPr>
      <w:r>
        <w:rPr>
          <w:rFonts w:ascii="Times New Roman" w:hAnsi="Times New Roman"/>
          <w:sz w:val="28"/>
        </w:rPr>
        <w:t xml:space="preserve">Современные антикоагулянты, применяемые для профилактики ВТЭО в ортопедической практике, классифицируются по механизму действия на несколько основных групп: антагонисты витамина K, нефракционированный гепарин (НФГ), низкомолекулярные гепарины (НМГ) и прямые оральные антикоагулянты (ПОАК).</w:t>
      </w:r>
    </w:p>
    <w:p>
      <w:pPr>
        <w:jc w:val="both"/>
        <w:ind w:firstLine="708"/>
        <w:spacing w:line="360" w:lineRule="auto"/>
      </w:pPr>
      <w:r>
        <w:rPr>
          <w:rFonts w:ascii="Times New Roman" w:hAnsi="Times New Roman"/>
          <w:sz w:val="28"/>
        </w:rPr>
        <w:t xml:space="preserve">Низкомолекулярные гепарины представляют собой наиболее широко используемую группу антикоагулянтов в ортопедической хирургии. К ним относятся эноксапарин, далтепарин, надропарин, ревипарин и тинзапарин. Механизм действия НМГ основан на связывании с антитромбином III – естественным ингибитором факторов свертывания. Комплекс НМГ-антитромбин III значительно ускоряет инактивацию фактора Xa (в 300-1000 раз), а также, в меньшей степени, фактора IIa (тромбина). Преимущественное ингибирование фактора Xa отличает НМГ от нефракционированного гепарина и обеспечивает более предсказуемый антикоагулянтный эффект</w:t>
      </w:r>
      <w:hyperlink w:anchor="_Source_6">
        <w:r>
          <w:rPr>
            <w:rFonts w:ascii="Times New Roman" w:hAnsi="Times New Roman"/>
            <w:sz w:val="28"/>
            <w:rStyle w:val="Hyperlink"/>
          </w:rPr>
          <w:t>[6]</w:t>
        </w:r>
      </w:hyperlink>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Фармакокинетические характеристики НМГ делают их удобными для клинического применения: высокая биодоступность при подкожном введении (около 90%), длительный период полувыведения (3-6 часов), позволяющий вводить препарат один или два раза в сутки, и предсказуемая доза-зависимая антикоагулянтная активность, не требующая рутинного лабораторного мониторинга у большинства пациентов. Выведение НМГ происходит преимущественно через почки, что требует коррекции дозы при почечной недостаточности</w:t>
      </w:r>
      <w:hyperlink w:anchor="_Source_6">
        <w:r>
          <w:rPr>
            <w:rFonts w:ascii="Times New Roman" w:hAnsi="Times New Roman"/>
            <w:sz w:val="28"/>
            <w:rStyle w:val="Hyperlink"/>
          </w:rPr>
          <w:t>[6]</w:t>
        </w:r>
      </w:hyperlink>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Прямые оральные антикоагулянты представляют собой относительно новый класс препаратов, включающий прямые ингибиторы фактора Xa (ривароксабан, апиксабан, эдоксабан) и прямой ингибитор тромбина (дабигатран). Ривароксабан, наиболее изученный в ортопедической практике, селективно и обратимо связывается с активным центром фактора Xa, блокируя как свободный фермент, так и фактор Xa в составе протромбиназного комплекса. Это прерывает конвертацию протромбина в тромбин и предотвращает образование фибрина</w:t>
      </w:r>
      <w:hyperlink w:anchor="_Source_7">
        <w:r>
          <w:rPr>
            <w:rFonts w:ascii="Times New Roman" w:hAnsi="Times New Roman"/>
            <w:sz w:val="28"/>
            <w:rStyle w:val="Hyperlink"/>
          </w:rPr>
          <w:t>[7]</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Основными преимуществами ПОАК являются пероральный путь введения, фиксированные дозы без необходимости лабораторного контроля, быстрое начало действия (максимальная концентрация достигается через 2-4 часа) и относительно короткий период полувыведения (5-13 часов для ривароксабана), что важно при планировании инвазивных процедур. Однако отсутствие рутинного мониторинга может затруднять оценку комплаентности пациента и степени антикоагуляции в экстренных ситуациях</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измерения концентрации ривароксабана в плазме крови разработаны специализированные тесты. Калиброванный анти-Xa анализ показывает отличную корреляцию с методом высокоэффективной жидкостной хроматографии с тандемной масс-спектрометрией (ВЭЖХ-МС/МС), который считается «золотым стандартом». Анти-Xa анализ демонстрирует высокую чувствительность (92,74-100%) и специфичность (99,30-99,58%) для клинически значимых концентраций препарата (≥30, 50 и 100 нг/мл), что делает его надежным инструментом для экстренной оценки уровня антикоагуляции, например, перед неотложными хирургическими вмешательствами или при развитии кровотечений</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безопасности антикоагулянтной терапии является возможность реверсии антикоагулянтного эффекта. Для НМГ специфическим антидотом служит протамина сульфат, хотя его эффективность в нейтрализации НМГ ниже, чем нефракционированного гепарина (около 60% нейтрализации анти-Xa активности). Для ривароксабана и других ингибиторов фактора Xa зарегистрирован специфический реверсивный агент – андексанет альфа, представляющий собой рекомбинантный модифицированный фактор Xa, который связывает ингибиторы фактора Xa, восстанавливая нормальную коагуляцию</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Выбор конкретного антикоагулянта в ортопедической практике определяется множеством факторов, включая тип операции, профиль риска пациента, функцию почек, потенциальные лекарственные взаимодействия и предпочтения пациента. Стандартные режимы дозирования для профилактики ВТЭО включают эноксапарин 40 мг подкожно один раз в сутки, далтепарин 5000 МЕ подкожно один раз в сутки или ривароксабан 10 мг перорально один раз в сутки</w:t>
      </w:r>
      <w:hyperlink w:anchor="_Source_6">
        <w:r>
          <w:rPr>
            <w:rFonts w:ascii="Times New Roman" w:hAnsi="Times New Roman"/>
            <w:sz w:val="28"/>
            <w:rStyle w:val="Hyperlink"/>
          </w:rPr>
          <w:t>[6]</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Длительность антикоагулянтной профилактики после ортопедических операций остается предметом дискуссий. Для пациентов высокого риска, перенесших эндопротезирование крупных суставов, рекомендуется минимальная продолжительность профилактики 28 дней, с возможным продлением до 35-42 дней в зависимости от индивидуальных факторов риска. При травмах ахиллова сухожилия с иммобилизацией продолжительность профилактики обычно составляет 4-6 недель или до окончания периода иммобилизации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Стратификация риска ВТЭО является ключевым элементом персонализированного подхода к профилактике. Для пациентов с иммобилизацией нижних конечностей разработаны валидированные инструменты оценки риска, такие как шкала TRiP(cast), которая учитывает множественные факторы: возраст старше 35 лет, мужской пол, индекс массы тела более 25 кг/м², личный или семейный анамнез ВТЭО, недавние операции или иммобилизация, гормональная терапия, злокачественные новообразования, беременность или послеродовой период, а также сопутствующие заболевания (хроническая сердечная недостаточность, хроническая болезнь почек, хроническая обструктивная болезнь легких, ревматоидный артрит, варикозное расширение вен). Пациенты с баллом ≥7 по шкале TRiP(cast) классифицируются как высокого риска и требуют обязательной фармакологической профилактики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пациентов низкого риска эффективность фармакологической профилактики остается предметом дебатов. Некоторые исследования не продемонстрировали статистически значимого снижения частоты ВТЭО при применении НМГ по сравнению с плацебо в этой группе. В таких случаях рекомендуется акцент на немедикаментозные методы профилактики: раннюю мобилизацию, протоколы ранней нагрузки на оперированную конечность, обучение пациентов и применение механических методов профилактики (градуированная компрессия, прерывистая пневматическая компрессия) при ограниченной подвижности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Антикоагулянтная терапия является критически важным компонентом периоперационного ведения пациентов в ортопедической хирургии. Венозные тромбоэмболические осложнения (ВТЭО), включающие тромбоз глубоких вен (ТГВ) и тромбоэмболию легочной артерии (ТЭЛА), представляют серьезную угрозу для пациентов после ортопедических вмешательств. Исторические данные демонстрируют, что без профилактики частота ТГВ после эндопротезирования тазобедренного и коленного суставов достигает 40-80%, при этом применение низкомолекулярных гепаринов (НМГ) снижает общую частоту ВТЭО до 0,6-1,5%</w:t>
      </w:r>
      <w:hyperlink w:anchor="_Source_6">
        <w:r>
          <w:rPr>
            <w:rFonts w:ascii="Times New Roman" w:hAnsi="Times New Roman"/>
            <w:sz w:val="28"/>
            <w:rStyle w:val="Hyperlink"/>
          </w:rPr>
          <w:t>[6]</w:t>
        </w:r>
      </w:hyperlink>
      <w:r>
        <w:rPr>
          <w:rFonts w:ascii="Times New Roman" w:hAnsi="Times New Roman"/>
          <w:sz w:val="28"/>
        </w:rPr>
        <w:t xml:space="preserve">. Одновременно с необходимостью предотвращения тромботических осложнений существует риск развития геморрагических событий, что требует тщательного баланса между эффективностью и безопасностью антикоагулянтной терапии.</w:t>
      </w:r>
    </w:p>
    <w:p>
      <w:pPr>
        <w:pStyle w:val="Heading2"/>
        <w:spacing w:before="240" w:after="120"/>
      </w:pPr>
      <w:r>
        <w:rPr>
          <w:rFonts w:ascii="Times New Roman" w:hAnsi="Times New Roman"/>
          <w:b/>
          <w:sz w:val="28"/>
        </w:rPr>
        <w:t xml:space="preserve">Современные клинические рекомендации по профилактике венозных тромбоэмболических осложнений</w:t>
      </w:r>
    </w:p>
    <w:p>
      <w:pPr>
        <w:jc w:val="both"/>
        <w:ind w:firstLine="708"/>
        <w:spacing w:line="360" w:lineRule="auto"/>
      </w:pPr>
      <w:r>
        <w:rPr>
          <w:rFonts w:ascii="Times New Roman" w:hAnsi="Times New Roman"/>
          <w:sz w:val="28"/>
        </w:rPr>
        <w:t xml:space="preserve">Современные международные руководства предоставляют структурированный подход к профилактике ВТЭО в ортопедической практике. Европейские рекомендации 2018 года четко указывают, что антиагрегантные препараты не должны заменять антикоагулянтную профилактику венозного тромбоза, поскольку механизмы образования артериальных и венозных тромбов фундаментально различаются</w:t>
      </w:r>
      <w:hyperlink w:anchor="_Source_6">
        <w:r>
          <w:rPr>
            <w:rFonts w:ascii="Times New Roman" w:hAnsi="Times New Roman"/>
            <w:sz w:val="28"/>
            <w:rStyle w:val="Hyperlink"/>
          </w:rPr>
          <w:t>[6]</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Артериальные тромбы формируются в условиях высокого давления и быстрого кровотока, преимущественно состоят из тромбоцитов и развиваются вследствие повреждения эндотелия. Венозные тромбы образуются при низком давлении и замедленном кровотоке, богаты фибрином и эритроцитами, их формирование связано с активацией каскада коагуляции. Клопидогрел, необратимо блокируя P2Y12-рецепторы тромбоцитов, эффективен против артериального тромбоза, но не предотвращает венозные тромботические события. Крупное исследование PEP trial с участием более 17 000 пациентов с переломами бедра показало, что даже аспирин обеспечивает лишь частичную защиту, снижая частоту ТЭЛА на 43% и ТГВ на 29%, что недостаточно для высокорисковых ортопедических пациентов</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Рекомендуемая продолжительность профилактики варьирует в зависимости от типа вмешательства и индивидуального риска. Для большинства ортопедических операций минимальная длительность составляет 28 дней, с возможным продлением до 35-42 дней у пациентов с множественными факторами риска. Исследования при разрыве ахиллова сухожилия демонстрируют, что профилактика должна продолжаться как минимум в течение периода иммобилизации, при этом у высокорисковых пациентов целесообразно продление до шести недель</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Выбор антикоагулянта основывается на оценке соотношения риска и пользы. НМГ остаются наиболее изученным классом препаратов для профилактики ВТЭО в ортопедии. Эноксапарин, далтепарин, надропарин и ревипарин продемонстрировали эффективность в многочисленных исследованиях</w:t>
      </w:r>
      <w:hyperlink w:anchor="_Source_5">
        <w:r>
          <w:rPr>
            <w:rFonts w:ascii="Times New Roman" w:hAnsi="Times New Roman"/>
            <w:sz w:val="28"/>
            <w:rStyle w:val="Hyperlink"/>
          </w:rPr>
          <w:t>[5]</w:t>
        </w:r>
      </w:hyperlink>
      <w:r>
        <w:rPr>
          <w:rFonts w:ascii="Times New Roman" w:hAnsi="Times New Roman"/>
          <w:sz w:val="28"/>
        </w:rPr>
        <w:t xml:space="preserve">. Прямые пероральные антикоагулянты (ПОАК), такие как ривароксабан, представляют альтернативу с удобством перорального приема. Исследование с применением ривароксабана 10 мг в сутки в течение четырех недель после операций на стопе и голеностопном суставе показало низкую частоту ВТЭО (3,6%), при этом единственное тромботическое событие произошло у пациента с низкой приверженностью терапии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Стратификация риска является краеугольным камнем современного подхода к профилактике ВТЭО. Валидированные инструменты оценки риска, такие как шкала TRiP(cast) для пациентов с иммобилизацией нижних конечностей, позволяют идентифицировать высокорисковых пациентов, требующих фармакологической профилактики. Шкала TRiP(cast) включает оценку возраста старше 35 лет, мужского пола, индекса массы тела более 25 кг/м², личного или семейного анамнеза ВТЭО, недавних операций или иммобилизации, гормональной терапии, злокачественных новообразований, беременности или послеродового периода, а также сопутствующих заболеваний. Балл ≥7 идентифицирует высокорисковых пациентов, нуждающихся в фармакологической профилактике</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пациентов низкого риска рекомендации менее однозначны. Мета-анализ исследований показывает противоречивые результаты относительно пользы рутинной фармакологической профилактики в этой группе</w:t>
      </w:r>
      <w:hyperlink w:anchor="_Source_5">
        <w:r>
          <w:rPr>
            <w:rFonts w:ascii="Times New Roman" w:hAnsi="Times New Roman"/>
            <w:sz w:val="28"/>
            <w:rStyle w:val="Hyperlink"/>
          </w:rPr>
          <w:t>[5]</w:t>
        </w:r>
      </w:hyperlink>
      <w:r>
        <w:rPr>
          <w:rFonts w:ascii="Times New Roman" w:hAnsi="Times New Roman"/>
          <w:sz w:val="28"/>
        </w:rPr>
        <w:t xml:space="preserve">. Некоторые исследования не выявили значимого снижения частоты ВТЭО при применении НМГ по сравнению с плацебо у пациентов низкого риска, что ставит под сомнение необходимость рутинной антикоагуляции. В таких случаях приоритет отдается ранней мобилизации, обучению пациентов и применению механических методов профилактики при ограничении подвижности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Особое внимание уделяется периоперационному ведению пациентов, получающих антитромботическую терапию по кардиологическим показаниям. При плановых операциях клопидогрел рекомендуется отменить за 5-7 дней до вмешательства, что позволяет восстановить примерно 70-80% функции тромбоцитов к моменту операции. Однако существуют абсолютные противопоказания к отмене антиагрегантов: пациенты с голометаллическими стентами требуют минимум четырех недель терапии, с лекарственно-покрытыми стентами – 6-12 месяцев в зависимости от типа стента и клинических факторов. Недавний тромбоз стента или острый коронарный синдром требует 12 месяцев двойной антиагрегантной терапии, преждевременная отмена которой ассоциирована с 40-50% летальностью при тромбозе стента</w:t>
      </w:r>
      <w:hyperlink w:anchor="_Source_6">
        <w:r>
          <w:rPr>
            <w:rFonts w:ascii="Times New Roman" w:hAnsi="Times New Roman"/>
            <w:sz w:val="28"/>
            <w:rStyle w:val="Hyperlink"/>
          </w:rPr>
          <w:t>[6]</w:t>
        </w:r>
      </w:hyperlink>
      <w:r>
        <w:rPr>
          <w:rFonts w:ascii="Times New Roman" w:hAnsi="Times New Roman"/>
          <w:sz w:val="28"/>
        </w:rPr>
        <w:t xml:space="preserve">.</w:t>
      </w:r>
    </w:p>
    <w:p>
      <w:pPr>
        <w:jc w:val="center"/>
        <w:spacing w:after="120"/>
      </w:pPr>
      <w:r>
        <w:rPr>
          <w:rFonts w:ascii="Times New Roman" w:hAnsi="Times New Roman"/>
          <w:sz w:val="24"/>
          <w:b/>
        </w:rPr>
        <w:t>Таблица 1. Рекомендации по длительности антикоагулянтной профилактики в зависимости от типа операции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Тип вмешательства</w:t>
            </w:r>
          </w:p>
        </w:tc>
        <w:tc>
          <w:tcPr>
            <w:vAlign w:val="center"/>
          </w:tcPr>
          <w:p>
            <w:pPr>
              <w:jc w:val="center"/>
            </w:pPr>
            <w:r>
              <w:rPr>
                <w:rFonts w:ascii="Times New Roman"/>
                <w:sz w:val="24"/>
                <w:b/>
              </w:rPr>
              <w:t>Минимальная длительность</w:t>
            </w:r>
          </w:p>
        </w:tc>
        <w:tc>
          <w:tcPr>
            <w:vAlign w:val="center"/>
          </w:tcPr>
          <w:p>
            <w:pPr>
              <w:jc w:val="center"/>
            </w:pPr>
            <w:r>
              <w:rPr>
                <w:rFonts w:ascii="Times New Roman"/>
                <w:sz w:val="24"/>
                <w:b/>
              </w:rPr>
              <w:t>Расширенная профилактика</w:t>
            </w:r>
          </w:p>
        </w:tc>
        <w:tc>
          <w:tcPr>
            <w:vAlign w:val="center"/>
          </w:tcPr>
          <w:p>
            <w:pPr>
              <w:jc w:val="center"/>
            </w:pPr>
            <w:r>
              <w:rPr>
                <w:rFonts w:ascii="Times New Roman"/>
                <w:sz w:val="24"/>
                <w:b/>
              </w:rPr>
              <w:t>Класс препарата</w:t>
            </w:r>
          </w:p>
        </w:tc>
      </w:tr>
      <w:tr>
        <w:tc>
          <w:tcPr>
            <w:vAlign w:val="center"/>
          </w:tcPr>
          <w:p>
            <w:pPr>
              <w:jc w:val="center"/>
            </w:pPr>
            <w:r>
              <w:rPr>
                <w:rFonts w:ascii="Times New Roman"/>
                <w:sz w:val="24"/>
              </w:rPr>
              <w:t>Эндопротезирование тазобедренного сустава</w:t>
            </w:r>
          </w:p>
        </w:tc>
        <w:tc>
          <w:tcPr>
            <w:vAlign w:val="center"/>
          </w:tcPr>
          <w:p>
            <w:pPr>
              <w:jc w:val="center"/>
            </w:pPr>
            <w:r>
              <w:rPr>
                <w:rFonts w:ascii="Times New Roman"/>
                <w:sz w:val="24"/>
              </w:rPr>
              <w:t>28 дней</w:t>
            </w:r>
          </w:p>
        </w:tc>
        <w:tc>
          <w:tcPr>
            <w:vAlign w:val="center"/>
          </w:tcPr>
          <w:p>
            <w:pPr>
              <w:jc w:val="center"/>
            </w:pPr>
            <w:r>
              <w:rPr>
                <w:rFonts w:ascii="Times New Roman"/>
                <w:sz w:val="24"/>
              </w:rPr>
              <w:t>До 35-42 дней</w:t>
            </w:r>
          </w:p>
        </w:tc>
        <w:tc>
          <w:tcPr>
            <w:vAlign w:val="center"/>
          </w:tcPr>
          <w:p>
            <w:pPr>
              <w:jc w:val="center"/>
            </w:pPr>
            <w:r>
              <w:rPr>
                <w:rFonts w:ascii="Times New Roman"/>
                <w:sz w:val="24"/>
              </w:rPr>
              <w:t>НМГ/ПОАК</w:t>
            </w:r>
          </w:p>
        </w:tc>
      </w:tr>
      <w:tr>
        <w:tc>
          <w:tcPr>
            <w:vAlign w:val="center"/>
          </w:tcPr>
          <w:p>
            <w:pPr>
              <w:jc w:val="center"/>
            </w:pPr>
            <w:r>
              <w:rPr>
                <w:rFonts w:ascii="Times New Roman"/>
                <w:sz w:val="24"/>
              </w:rPr>
              <w:t>Эндопротезирование коленного сустава</w:t>
            </w:r>
          </w:p>
        </w:tc>
        <w:tc>
          <w:tcPr>
            <w:vAlign w:val="center"/>
          </w:tcPr>
          <w:p>
            <w:pPr>
              <w:jc w:val="center"/>
            </w:pPr>
            <w:r>
              <w:rPr>
                <w:rFonts w:ascii="Times New Roman"/>
                <w:sz w:val="24"/>
              </w:rPr>
              <w:t>28 дней</w:t>
            </w:r>
          </w:p>
        </w:tc>
        <w:tc>
          <w:tcPr>
            <w:vAlign w:val="center"/>
          </w:tcPr>
          <w:p>
            <w:pPr>
              <w:jc w:val="center"/>
            </w:pPr>
            <w:r>
              <w:rPr>
                <w:rFonts w:ascii="Times New Roman"/>
                <w:sz w:val="24"/>
              </w:rPr>
              <w:t>До 35-42 дней</w:t>
            </w:r>
          </w:p>
        </w:tc>
        <w:tc>
          <w:tcPr>
            <w:vAlign w:val="center"/>
          </w:tcPr>
          <w:p>
            <w:pPr>
              <w:jc w:val="center"/>
            </w:pPr>
            <w:r>
              <w:rPr>
                <w:rFonts w:ascii="Times New Roman"/>
                <w:sz w:val="24"/>
              </w:rPr>
              <w:t>НМГ/ПОАК</w:t>
            </w:r>
          </w:p>
        </w:tc>
      </w:tr>
      <w:tr>
        <w:tc>
          <w:tcPr>
            <w:vAlign w:val="center"/>
          </w:tcPr>
          <w:p>
            <w:pPr>
              <w:jc w:val="center"/>
            </w:pPr>
            <w:r>
              <w:rPr>
                <w:rFonts w:ascii="Times New Roman"/>
                <w:sz w:val="24"/>
              </w:rPr>
              <w:t>Хирургия стопы и голеностопа (высокий риск)</w:t>
            </w:r>
          </w:p>
        </w:tc>
        <w:tc>
          <w:tcPr>
            <w:vAlign w:val="center"/>
          </w:tcPr>
          <w:p>
            <w:pPr>
              <w:jc w:val="center"/>
            </w:pPr>
            <w:r>
              <w:rPr>
                <w:rFonts w:ascii="Times New Roman"/>
                <w:sz w:val="24"/>
              </w:rPr>
              <w:t>28 дней</w:t>
            </w:r>
          </w:p>
        </w:tc>
        <w:tc>
          <w:tcPr>
            <w:vAlign w:val="center"/>
          </w:tcPr>
          <w:p>
            <w:pPr>
              <w:jc w:val="center"/>
            </w:pPr>
            <w:r>
              <w:rPr>
                <w:rFonts w:ascii="Times New Roman"/>
                <w:sz w:val="24"/>
              </w:rPr>
              <w:t>До 42 дней</w:t>
            </w:r>
          </w:p>
        </w:tc>
        <w:tc>
          <w:tcPr>
            <w:vAlign w:val="center"/>
          </w:tcPr>
          <w:p>
            <w:pPr>
              <w:jc w:val="center"/>
            </w:pPr>
            <w:r>
              <w:rPr>
                <w:rFonts w:ascii="Times New Roman"/>
                <w:sz w:val="24"/>
              </w:rPr>
              <w:t>НМГ/ПОАК</w:t>
            </w:r>
          </w:p>
        </w:tc>
      </w:tr>
      <w:tr>
        <w:tc>
          <w:tcPr>
            <w:vAlign w:val="center"/>
          </w:tcPr>
          <w:p>
            <w:pPr>
              <w:jc w:val="center"/>
            </w:pPr>
            <w:r>
              <w:rPr>
                <w:rFonts w:ascii="Times New Roman"/>
                <w:sz w:val="24"/>
              </w:rPr>
              <w:t>Разрыв ахиллова сухожилия (высокий риск)</w:t>
            </w:r>
          </w:p>
        </w:tc>
        <w:tc>
          <w:tcPr>
            <w:vAlign w:val="center"/>
          </w:tcPr>
          <w:p>
            <w:pPr>
              <w:jc w:val="center"/>
            </w:pPr>
            <w:r>
              <w:rPr>
                <w:rFonts w:ascii="Times New Roman"/>
                <w:sz w:val="24"/>
              </w:rPr>
              <w:t>Период иммобилизации</w:t>
            </w:r>
          </w:p>
        </w:tc>
        <w:tc>
          <w:tcPr>
            <w:vAlign w:val="center"/>
          </w:tcPr>
          <w:p>
            <w:pPr>
              <w:jc w:val="center"/>
            </w:pPr>
            <w:r>
              <w:rPr>
                <w:rFonts w:ascii="Times New Roman"/>
                <w:sz w:val="24"/>
              </w:rPr>
              <w:t>До 6 недель</w:t>
            </w:r>
          </w:p>
        </w:tc>
        <w:tc>
          <w:tcPr>
            <w:vAlign w:val="center"/>
          </w:tcPr>
          <w:p>
            <w:pPr>
              <w:jc w:val="center"/>
            </w:pPr>
            <w:r>
              <w:rPr>
                <w:rFonts w:ascii="Times New Roman"/>
                <w:sz w:val="24"/>
              </w:rPr>
              <w:t>НМГ/ривароксабан</w:t>
            </w:r>
          </w:p>
        </w:tc>
      </w:tr>
      <w:tr>
        <w:tc>
          <w:tcPr>
            <w:vAlign w:val="center"/>
          </w:tcPr>
          <w:p>
            <w:pPr>
              <w:jc w:val="center"/>
            </w:pPr>
            <w:r>
              <w:rPr>
                <w:rFonts w:ascii="Times New Roman"/>
                <w:sz w:val="24"/>
              </w:rPr>
              <w:t>Травматологические операции</w:t>
            </w:r>
          </w:p>
        </w:tc>
        <w:tc>
          <w:tcPr>
            <w:vAlign w:val="center"/>
          </w:tcPr>
          <w:p>
            <w:pPr>
              <w:jc w:val="center"/>
            </w:pPr>
            <w:r>
              <w:rPr>
                <w:rFonts w:ascii="Times New Roman"/>
                <w:sz w:val="24"/>
              </w:rPr>
              <w:t>До окончания иммобилизации</w:t>
            </w:r>
          </w:p>
        </w:tc>
        <w:tc>
          <w:tcPr>
            <w:vAlign w:val="center"/>
          </w:tcPr>
          <w:p>
            <w:pPr>
              <w:jc w:val="center"/>
            </w:pPr>
            <w:r>
              <w:rPr>
                <w:rFonts w:ascii="Times New Roman"/>
                <w:sz w:val="24"/>
              </w:rPr>
              <w:t>Индивидуально</w:t>
            </w:r>
          </w:p>
        </w:tc>
        <w:tc>
          <w:tcPr>
            <w:vAlign w:val="center"/>
          </w:tcPr>
          <w:p>
            <w:pPr>
              <w:jc w:val="center"/>
            </w:pPr>
            <w:r>
              <w:rPr>
                <w:rFonts w:ascii="Times New Roman"/>
                <w:sz w:val="24"/>
              </w:rPr>
              <w:t>НМГ</w:t>
            </w:r>
          </w:p>
        </w:tc>
      </w:tr>
    </w:tbl>
    <w:p>
      <w:r>
        <w:t/>
      </w:r>
    </w:p>
    <w:p>
      <w:pPr>
        <w:jc w:val="both"/>
        <w:ind w:firstLine="708"/>
        <w:spacing w:line="360" w:lineRule="auto"/>
      </w:pPr>
      <w:r>
        <w:rPr>
          <w:rFonts w:ascii="Times New Roman" w:hAnsi="Times New Roman"/>
          <w:sz w:val="28"/>
        </w:rPr>
        <w:t xml:space="preserve">Мониторинг эффективности и безопасности антикоагулянтной терапии включает клиническую оценку признаков ВТЭО и кровотечений, контроль гемоглобина для выявления скрытой кровопотери, оценку состояния операционной раны и объема отделяемого по дренажам. Лабораторный мониторинг анти-Ха активности может быть полезен у пациентов с экстремальной массой тела: у пациентов с весом менее 50 кг повышен риск кровотечений из-за относительной передозировки, тогда как у пациентов с индексом массы тела более 40 кг/м² стандартные дозы могут обеспечивать недостаточную профилактику</w:t>
      </w:r>
      <w:hyperlink w:anchor="_Source_6">
        <w:r>
          <w:rPr>
            <w:rFonts w:ascii="Times New Roman" w:hAnsi="Times New Roman"/>
            <w:sz w:val="28"/>
            <w:rStyle w:val="Hyperlink"/>
          </w:rPr>
          <w:t>[6]</w:t>
        </w:r>
      </w:hyperlink>
      <w:hyperlink w:anchor="_Source_7">
        <w:r>
          <w:rPr>
            <w:rFonts w:ascii="Times New Roman" w:hAnsi="Times New Roman"/>
            <w:sz w:val="28"/>
            <w:rStyle w:val="Hyperlink"/>
          </w:rPr>
          <w:t>[7]</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Факторы риска тромбоэмболических и геморрагических осложнений</w:t>
      </w:r>
    </w:p>
    <w:p>
      <w:pPr>
        <w:jc w:val="both"/>
        <w:ind w:firstLine="708"/>
        <w:spacing w:line="360" w:lineRule="auto"/>
      </w:pPr>
      <w:r>
        <w:rPr>
          <w:rFonts w:ascii="Times New Roman" w:hAnsi="Times New Roman"/>
          <w:sz w:val="28"/>
        </w:rPr>
        <w:t xml:space="preserve">Идентификация факторов риска является основой персонализированного подхода к антикоагулянтной профилактике. Факторы риска ВТЭО можно разделить на связанные с пациентом, связанные с операцией и связанные с периоперационным периодом.</w:t>
      </w:r>
    </w:p>
    <w:p>
      <w:pPr>
        <w:jc w:val="both"/>
        <w:ind w:firstLine="708"/>
        <w:spacing w:line="360" w:lineRule="auto"/>
      </w:pPr>
      <w:r>
        <w:rPr>
          <w:rFonts w:ascii="Times New Roman" w:hAnsi="Times New Roman"/>
          <w:sz w:val="28"/>
        </w:rPr>
        <w:t xml:space="preserve">К значимым пациент-специфическим факторам риска относятся возраст старше 40 лет, мужской пол, ожирение (индекс массы тела более 30 кг/м²), личный или семейный анамнез ВТЭО, активное злокачественное новообразование, тромбофилии, беременность и послеродовой период, прием гормональных препаратов, а также хронические заболевания, включая сердечную недостаточность, хроническую болезнь почек, хроническую обструктивную болезнь легких и ревматоидный артрит. Исследование пациентов после хирургического лечения разрыва ахиллова сухожилия выявило, что возраст старше 40 лет и индекс массы тела более 30 кг/м² являются независимыми факторами риска развития ВТЭО, при этом общая частота тромботических осложнений в этой группе составила 9,2%</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Хирургические факторы риска включают тип и объем вмешательства, продолжительность операции и анестезии, а также метод лечения. Хирургическое лечение разрыва ахиллова сухожилия ассоциировано с 8,2-кратным увеличением относительного риска ВТЭО по сравнению с консервативным лечением в гипсовой повязке</w:t>
      </w:r>
      <w:hyperlink w:anchor="_Source_8">
        <w:r>
          <w:rPr>
            <w:rFonts w:ascii="Times New Roman" w:hAnsi="Times New Roman"/>
            <w:sz w:val="28"/>
            <w:rStyle w:val="Hyperlink"/>
          </w:rPr>
          <w:t>[8]</w:t>
        </w:r>
      </w:hyperlink>
      <w:r>
        <w:rPr>
          <w:rFonts w:ascii="Times New Roman" w:hAnsi="Times New Roman"/>
          <w:sz w:val="28"/>
        </w:rPr>
        <w:t xml:space="preserve">. Большие ортопедические операции, такие как эндопротезирование крупных суставов, ревизионные вмешательства и операции на позвоночнике, характеризуются особенно высоким риском тромботических осложнений</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Иммобилизация является одним из ключевых факторов риска ВТЭО в ортопедической практике. Продолжительная иммобилизация нижней конечности в гипсовой повязке или ортезе приводит к венозному стазу и активации коагуляционного каскада. Исследования показывают, что ВТЭО может развиваться как в раннем послеоперационном периоде, так и после снятия иммобилизации. У пациентов с разрывом ахиллова сухожилия тромботические события возникали значительно раньше по сравнению с пациентами с переломами голеностопного сустава (в среднем через 16,1 против 35,5 дней)</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Особую категорию представляют пациенты, получающие антиагрегантную терапию по поводу сердечно-сосудистых заболеваний. Клопидогрел и другие ингибиторы P2Y12-рецепторов назначаются для профилактики артериальных тромботических событий после стентирования коронарных артерий или при остром коронарном синдроме. Эти препараты увеличивают риск периоперационного кровотечения на 20-30%, при этом средняя кровопотеря возрастает на 100-200 мл. Исследования пациентов с переломами шейки бедра, оперированных на фоне приема клопидогрела, показали увеличение частоты трансфузий с 21,7% до 45% и повышение риска больших кровотечений с 1,7% до 8,3%, хотя различия не всегда достигали статистической значимости</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Факторы риска геморрагических осложнений частично перекрываются с факторами риска ВТЭО, что создает сложную клиническую дилемму. К основным факторам риска кровотечений относятся пожилой возраст, почечная недостаточность, печеночная дисфункция, тромбоцитопения, анамнез кровотечений, одновременный прием антиагрегантов или нестероидных противовоспалительных препаратов, а также неконтролируемая артериальная гипертензия. Пациенты с тяжелой почечной недостаточностью требуют коррекции доз НМГ или применения альтернативных антикоагулянтов</w:t>
      </w:r>
      <w:hyperlink w:anchor="_Source_6">
        <w:r>
          <w:rPr>
            <w:rFonts w:ascii="Times New Roman" w:hAnsi="Times New Roman"/>
            <w:sz w:val="28"/>
            <w:rStyle w:val="Hyperlink"/>
          </w:rPr>
          <w:t>[6]</w:t>
        </w:r>
      </w:hyperlink>
      <w:r>
        <w:rPr>
          <w:rFonts w:ascii="Times New Roman" w:hAnsi="Times New Roman"/>
          <w:sz w:val="28"/>
        </w:rPr>
        <w:t xml:space="preserve">.</w:t>
      </w:r>
    </w:p>
    <w:p>
      <w:pPr>
        <w:jc w:val="center"/>
        <w:spacing w:after="120"/>
      </w:pPr>
      <w:r>
        <w:rPr>
          <w:rFonts w:ascii="Times New Roman" w:hAnsi="Times New Roman"/>
          <w:sz w:val="24"/>
          <w:b/>
        </w:rPr>
        <w:t>Таблица 2. Стратификация риска ВТЭО и геморрагических осложнений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Категория риска</w:t>
            </w:r>
          </w:p>
        </w:tc>
        <w:tc>
          <w:tcPr>
            <w:vAlign w:val="center"/>
          </w:tcPr>
          <w:p>
            <w:pPr>
              <w:jc w:val="center"/>
            </w:pPr>
            <w:r>
              <w:rPr>
                <w:rFonts w:ascii="Times New Roman"/>
                <w:sz w:val="24"/>
                <w:b/>
              </w:rPr>
              <w:t>Факторы риска ВТЭО</w:t>
            </w:r>
          </w:p>
        </w:tc>
        <w:tc>
          <w:tcPr>
            <w:vAlign w:val="center"/>
          </w:tcPr>
          <w:p>
            <w:pPr>
              <w:jc w:val="center"/>
            </w:pPr>
            <w:r>
              <w:rPr>
                <w:rFonts w:ascii="Times New Roman"/>
                <w:sz w:val="24"/>
                <w:b/>
              </w:rPr>
              <w:t>Факторы риска кровотечений</w:t>
            </w:r>
          </w:p>
        </w:tc>
        <w:tc>
          <w:tcPr>
            <w:vAlign w:val="center"/>
          </w:tcPr>
          <w:p>
            <w:pPr>
              <w:jc w:val="center"/>
            </w:pPr>
            <w:r>
              <w:rPr>
                <w:rFonts w:ascii="Times New Roman"/>
                <w:sz w:val="24"/>
                <w:b/>
              </w:rPr>
              <w:t>Рекомендуемая стратегия</w:t>
            </w:r>
          </w:p>
        </w:tc>
      </w:tr>
      <w:tr>
        <w:tc>
          <w:tcPr>
            <w:vAlign w:val="center"/>
          </w:tcPr>
          <w:p>
            <w:pPr>
              <w:jc w:val="center"/>
            </w:pPr>
            <w:r>
              <w:rPr>
                <w:rFonts w:ascii="Times New Roman"/>
                <w:sz w:val="24"/>
              </w:rPr>
              <w:t>Низкий риск</w:t>
            </w:r>
          </w:p>
        </w:tc>
        <w:tc>
          <w:tcPr>
            <w:vAlign w:val="center"/>
          </w:tcPr>
          <w:p>
            <w:pPr>
              <w:jc w:val="center"/>
            </w:pPr>
            <w:r>
              <w:rPr>
                <w:rFonts w:ascii="Times New Roman"/>
                <w:sz w:val="24"/>
              </w:rPr>
              <w:t>Возраст &lt;40 лет, ИМТ &lt;25, отсутствие анамнеза ВТЭО, малые операции</w:t>
            </w:r>
          </w:p>
        </w:tc>
        <w:tc>
          <w:tcPr>
            <w:vAlign w:val="center"/>
          </w:tcPr>
          <w:p>
            <w:pPr>
              <w:jc w:val="center"/>
            </w:pPr>
            <w:r>
              <w:rPr>
                <w:rFonts w:ascii="Times New Roman"/>
                <w:sz w:val="24"/>
              </w:rPr>
              <w:t>Отсутствие факторов риска, нормальная функция почек</w:t>
            </w:r>
          </w:p>
        </w:tc>
        <w:tc>
          <w:tcPr>
            <w:vAlign w:val="center"/>
          </w:tcPr>
          <w:p>
            <w:pPr>
              <w:jc w:val="center"/>
            </w:pPr>
            <w:r>
              <w:rPr>
                <w:rFonts w:ascii="Times New Roman"/>
                <w:sz w:val="24"/>
              </w:rPr>
              <w:t>Ранняя мобилизация, механическая профилактика</w:t>
            </w:r>
          </w:p>
        </w:tc>
      </w:tr>
      <w:tr>
        <w:tc>
          <w:tcPr>
            <w:vAlign w:val="center"/>
          </w:tcPr>
          <w:p>
            <w:pPr>
              <w:jc w:val="center"/>
            </w:pPr>
            <w:r>
              <w:rPr>
                <w:rFonts w:ascii="Times New Roman"/>
                <w:sz w:val="24"/>
              </w:rPr>
              <w:t>Умеренный риск</w:t>
            </w:r>
          </w:p>
        </w:tc>
        <w:tc>
          <w:tcPr>
            <w:vAlign w:val="center"/>
          </w:tcPr>
          <w:p>
            <w:pPr>
              <w:jc w:val="center"/>
            </w:pPr>
            <w:r>
              <w:rPr>
                <w:rFonts w:ascii="Times New Roman"/>
                <w:sz w:val="24"/>
              </w:rPr>
              <w:t>Возраст 40-60 лет, ИМТ 25-30, средние операции</w:t>
            </w:r>
          </w:p>
        </w:tc>
        <w:tc>
          <w:tcPr>
            <w:vAlign w:val="center"/>
          </w:tcPr>
          <w:p>
            <w:pPr>
              <w:jc w:val="center"/>
            </w:pPr>
            <w:r>
              <w:rPr>
                <w:rFonts w:ascii="Times New Roman"/>
                <w:sz w:val="24"/>
              </w:rPr>
              <w:t>Возраст &gt;65 лет, умеренная почечная дисфункция</w:t>
            </w:r>
          </w:p>
        </w:tc>
        <w:tc>
          <w:tcPr>
            <w:vAlign w:val="center"/>
          </w:tcPr>
          <w:p>
            <w:pPr>
              <w:jc w:val="center"/>
            </w:pPr>
            <w:r>
              <w:rPr>
                <w:rFonts w:ascii="Times New Roman"/>
                <w:sz w:val="24"/>
              </w:rPr>
              <w:t>Фармакологическая профилактика стандартными дозами НМГ</w:t>
            </w:r>
          </w:p>
        </w:tc>
      </w:tr>
      <w:tr>
        <w:tc>
          <w:tcPr>
            <w:vAlign w:val="center"/>
          </w:tcPr>
          <w:p>
            <w:pPr>
              <w:jc w:val="center"/>
            </w:pPr>
            <w:r>
              <w:rPr>
                <w:rFonts w:ascii="Times New Roman"/>
                <w:sz w:val="24"/>
              </w:rPr>
              <w:t>Высокий риск</w:t>
            </w:r>
          </w:p>
        </w:tc>
        <w:tc>
          <w:tcPr>
            <w:vAlign w:val="center"/>
          </w:tcPr>
          <w:p>
            <w:pPr>
              <w:jc w:val="center"/>
            </w:pPr>
            <w:r>
              <w:rPr>
                <w:rFonts w:ascii="Times New Roman"/>
                <w:sz w:val="24"/>
              </w:rPr>
              <w:t>Анамнез ВТЭО, ИМТ &gt;30, большие операции, иммобилизация &gt;4 недель</w:t>
            </w:r>
          </w:p>
        </w:tc>
        <w:tc>
          <w:tcPr>
            <w:vAlign w:val="center"/>
          </w:tcPr>
          <w:p>
            <w:pPr>
              <w:jc w:val="center"/>
            </w:pPr>
            <w:r>
              <w:rPr>
                <w:rFonts w:ascii="Times New Roman"/>
                <w:sz w:val="24"/>
              </w:rPr>
              <w:t>Анамнез кровотечений, прием антиагрегантов, тромбоцитопения</w:t>
            </w:r>
          </w:p>
        </w:tc>
        <w:tc>
          <w:tcPr>
            <w:vAlign w:val="center"/>
          </w:tcPr>
          <w:p>
            <w:pPr>
              <w:jc w:val="center"/>
            </w:pPr>
            <w:r>
              <w:rPr>
                <w:rFonts w:ascii="Times New Roman"/>
                <w:sz w:val="24"/>
              </w:rPr>
              <w:t>Продленная профилактика, тщательный мониторинг</w:t>
            </w:r>
          </w:p>
        </w:tc>
      </w:tr>
      <w:tr>
        <w:tc>
          <w:tcPr>
            <w:vAlign w:val="center"/>
          </w:tcPr>
          <w:p>
            <w:pPr>
              <w:jc w:val="center"/>
            </w:pPr>
            <w:r>
              <w:rPr>
                <w:rFonts w:ascii="Times New Roman"/>
                <w:sz w:val="24"/>
              </w:rPr>
              <w:t>Очень высокий риск</w:t>
            </w:r>
          </w:p>
        </w:tc>
        <w:tc>
          <w:tcPr>
            <w:vAlign w:val="center"/>
          </w:tcPr>
          <w:p>
            <w:pPr>
              <w:jc w:val="center"/>
            </w:pPr>
            <w:r>
              <w:rPr>
                <w:rFonts w:ascii="Times New Roman"/>
                <w:sz w:val="24"/>
              </w:rPr>
              <w:t>Множественные факторы риска, активная онкопатология, тромбофилия</w:t>
            </w:r>
          </w:p>
        </w:tc>
        <w:tc>
          <w:tcPr>
            <w:vAlign w:val="center"/>
          </w:tcPr>
          <w:p>
            <w:pPr>
              <w:jc w:val="center"/>
            </w:pPr>
            <w:r>
              <w:rPr>
                <w:rFonts w:ascii="Times New Roman"/>
                <w:sz w:val="24"/>
              </w:rPr>
              <w:t>Тяжелая почечная/печеночная недостаточность, активное кровотечение</w:t>
            </w:r>
          </w:p>
        </w:tc>
        <w:tc>
          <w:tcPr>
            <w:vAlign w:val="center"/>
          </w:tcPr>
          <w:p>
            <w:pPr>
              <w:jc w:val="center"/>
            </w:pPr>
            <w:r>
              <w:rPr>
                <w:rFonts w:ascii="Times New Roman"/>
                <w:sz w:val="24"/>
              </w:rPr>
              <w:t>Индивидуализированный подход, мультидисциплинарное обсуждение</w:t>
            </w:r>
          </w:p>
        </w:tc>
      </w:tr>
    </w:tbl>
    <w:p>
      <w:r>
        <w:t/>
      </w:r>
    </w:p>
    <w:p>
      <w:pPr>
        <w:jc w:val="both"/>
        <w:ind w:firstLine="708"/>
        <w:spacing w:line="360" w:lineRule="auto"/>
      </w:pPr>
      <w:r>
        <w:rPr>
          <w:rFonts w:ascii="Times New Roman" w:hAnsi="Times New Roman"/>
          <w:sz w:val="28"/>
        </w:rPr>
        <w:t xml:space="preserve">Взаимодействие между тромботическим и геморрагическим рисками требует тщательной индивидуальной оценки. Систематический обзор применения транексамовой кислоты у пациентов, получающих антиагрегантную терапию, показал, что этот антифибринолитический препарат последовательно снижает кровопотерю и потребность в трансфузиях без увеличения частоты симптоматических ВТЭО или летальности. Мета-анализ 21 исследования с участием 3156 пациентов продемонстрировал снижение потребности в трансфузиях (отношение шансов 0,42) при отсутствии увеличения риска ВТЭО (отношение шансов 1,12)</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Время начала антикоагулянтной профилактики критически важно для баланса между эффективностью и безопасностью. При использовании НМГ в предоперационном периоде последняя профилактическая доза должна вводиться не менее чем за 12 часов до операции для снижения риска кровотечения. Введение НМГ ближе к моменту операции, особенно в сочетании с антиагрегантной терапией, значительно повышает вероятность геморрагических осложнений. Многие периоперационные протоколы отдают предпочтение началу профилактики НМГ в послеоперационном периоде, обычно через 12-24 часа после процедуры, после достижения надежного гемостаза</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У пациентов с множественными факторами риска ВТЭО и одновременно высоким риском кровотечений временное применение механических методов профилактики, таких как перемежающаяся пневматическая компрессия или градуированные компрессионные чулки, может быть предпочтительным до момента, когда фармакологическая профилактика станет безопасной. Этот подход соответствует рекомендациям Американской коллегии торакальных врачей (CHEST) и Национального института здоровья и качества медицинской помощи Великобритании (NICE)</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Особую проблему представляют пациенты, требующие экстренного хирургического вмешательства на фоне продолжающейся антикоагулянтной или антиагрегантной терапии. При переломах шейки бедра задержка операции более чем на 48 часов значительно увеличивает летальность (отношение рисков 1,32), поэтому операция не должна откладываться для отмены клопидогрела. Хирургическая бригада должна быть готова к увеличенной кровопотере, должны быть доступны компоненты крови, рекомендуется применение тщательной хирургической техники и использование местной или системной транексамовой кислоты для уменьшения кровотечения</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Мониторинг пациентов в послеоперационном периоде должен включать ежедневную оценку клинических признаков ВТЭО (боль, отек, эритема нижних конечностей, одышка, боль в грудной клетке), контроль гемоглобина для выявления скрытой кровопотери, оценку хирургической раны на предмет гематом, измерение объема отделяемого по дренажам и оценку симптомов, указывающих на кровотечение (головокружение, тахикардия)</w:t>
      </w:r>
      <w:hyperlink w:anchor="_Source_6">
        <w:r>
          <w:rPr>
            <w:rFonts w:ascii="Times New Roman" w:hAnsi="Times New Roman"/>
            <w:sz w:val="28"/>
            <w:rStyle w:val="Hyperlink"/>
          </w:rPr>
          <w:t>[6]</w:t>
        </w:r>
      </w:hyperlink>
      <w:r>
        <w:rPr>
          <w:rFonts w:ascii="Times New Roman" w:hAnsi="Times New Roman"/>
          <w:sz w:val="28"/>
        </w:rPr>
        <w:t xml:space="preserve">. Такая клиническая бдительность позволяет выявлять осложнения на ранних стадиях и своевременно корректировать терапию до развития серьезных последствий.</w:t>
      </w:r>
    </w:p>
    <w:p>
      <w:pPr>
        <w:jc w:val="both"/>
        <w:ind w:firstLine="708"/>
        <w:spacing w:line="360" w:lineRule="auto"/>
      </w:pPr>
      <w:r>
        <w:rPr>
          <w:rFonts w:ascii="Times New Roman" w:hAnsi="Times New Roman"/>
          <w:sz w:val="28"/>
        </w:rPr>
        <w:t xml:space="preserve">Современные подходы к профилактике ВТЭО подчеркивают важность индивидуализированной оценки риска с использованием валидированных инструментов, таких как шкала TRiP(cast), которая позволяет стратифицировать пациентов и применять целенаправленные профилактические вмешательства. Высокорисковые пациенты существенно выигрывают от фармакологической профилактики, тогда как у пациентов низкого риска эффективное управление рисками ВТЭО может достигаться через раннюю мобилизацию с дополнительной механической профилактикой при необходимости</w:t>
      </w:r>
      <w:hyperlink w:anchor="_Source_5">
        <w:r>
          <w:rPr>
            <w:rFonts w:ascii="Times New Roman" w:hAnsi="Times New Roman"/>
            <w:sz w:val="28"/>
            <w:rStyle w:val="Hyperlink"/>
          </w:rPr>
          <w:t>[5]</w:t>
        </w:r>
      </w:hyperlink>
      <w:hyperlink w:anchor="_Source_8">
        <w:r>
          <w:rPr>
            <w:rFonts w:ascii="Times New Roman" w:hAnsi="Times New Roman"/>
            <w:sz w:val="28"/>
            <w:rStyle w:val="Hyperlink"/>
          </w:rPr>
          <w:t>[8]</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Особенности антикоагулянтной терапии при различных ортопедических вмешательствах</w:t>
      </w:r>
    </w:p>
    <w:p>
      <w:pPr>
        <w:jc w:val="both"/>
        <w:ind w:firstLine="708"/>
        <w:spacing w:line="360" w:lineRule="auto"/>
      </w:pPr>
      <w:r>
        <w:rPr>
          <w:rFonts w:ascii="Times New Roman" w:hAnsi="Times New Roman"/>
          <w:sz w:val="28"/>
        </w:rPr>
        <w:t xml:space="preserve">Выбор стратегии антикоагулянтной профилактики в ортопедической хирургии определяется типом оперативного вмешательства, индивидуальными факторами риска пациента и балансом между предотвращением венозных тромбоэмболических осложнений (ВТЭ) и минимизацией геморрагических рисков.</w:t>
      </w:r>
    </w:p>
    <w:p>
      <w:pPr>
        <w:jc w:val="both"/>
        <w:ind w:firstLine="708"/>
        <w:spacing w:line="360" w:lineRule="auto"/>
      </w:pPr>
      <w:r>
        <w:rPr>
          <w:rFonts w:ascii="Times New Roman" w:hAnsi="Times New Roman"/>
          <w:sz w:val="28"/>
        </w:rPr>
        <w:t xml:space="preserve">При тотальном эндопротезировании тазобедренного и коленного суставов риск ВТЭ без профилактики достигает 40-60%, что обосновывает необходимость обязательной антикоагулянтной терапии. Стандартная схема включает низкомолекулярные гепарины (НМГ), такие как эноксапарин 40 мг/сутки или дальтепарин 5000 МЕ/сутки, либо прямые оральные антикоагулянты (ПОАК) – ривароксабан 10 мг/сутки</w:t>
      </w:r>
      <w:hyperlink w:anchor="_Source_6">
        <w:r>
          <w:rPr>
            <w:rFonts w:ascii="Times New Roman" w:hAnsi="Times New Roman"/>
            <w:sz w:val="28"/>
            <w:rStyle w:val="Hyperlink"/>
          </w:rPr>
          <w:t>[6]</w:t>
        </w:r>
      </w:hyperlink>
      <w:r>
        <w:rPr>
          <w:rFonts w:ascii="Times New Roman" w:hAnsi="Times New Roman"/>
          <w:sz w:val="28"/>
        </w:rPr>
        <w:t xml:space="preserve">. Продолжительность профилактики составляет минимум 10-14 дней, при наличии дополнительных факторов риска курс может быть продлен до 35 дней</w:t>
      </w:r>
      <w:hyperlink w:anchor="_Source_5">
        <w:r>
          <w:rPr>
            <w:rFonts w:ascii="Times New Roman" w:hAnsi="Times New Roman"/>
            <w:sz w:val="28"/>
            <w:rStyle w:val="Hyperlink"/>
          </w:rPr>
          <w:t>[5]</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Критическое значение имеет время начала терапии: предоперационное введение НМГ должно осуществляться не менее чем за 12 часов до операции, послеоперационное – через 12-24 часа после достижения гемостаза. У пациентов с экстремальной массой тела (ИМТ &gt;40 кг/м² или &lt;50 кг) требуется коррекция доз с возможным мониторингом анти-Xa активности</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хирургическом лечении переломов, особенно повреждений нижних конечностей с последующей иммобилизацией, подход к антикоагуляции дифференцируется в зависимости от оценки риска. Валидированные инструменты стратификации, такие как шкала TRiP(cast), позволяют выделить пациентов высокого риска (≥7 баллов), которым показана фармакологическая профилактика</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переломах проксимального отдела бедренной кости отсрочка операции более 36-48 часов значимо увеличивает летальность (на 32% в течение первого года), что диктует необходимость раннего хирургического вмешательства даже на фоне антиагрегантной терапии</w:t>
      </w:r>
      <w:hyperlink w:anchor="_Source_8">
        <w:r>
          <w:rPr>
            <w:rFonts w:ascii="Times New Roman" w:hAnsi="Times New Roman"/>
            <w:sz w:val="28"/>
            <w:rStyle w:val="Hyperlink"/>
          </w:rPr>
          <w:t>[8]</w:t>
        </w:r>
      </w:hyperlink>
      <w:r>
        <w:rPr>
          <w:rFonts w:ascii="Times New Roman" w:hAnsi="Times New Roman"/>
          <w:sz w:val="28"/>
        </w:rPr>
        <w:t xml:space="preserve">. У пациентов, получающих клопидогрел, операция выполняется без отсрочки с готовностью к увеличению кровопотери на 100-200 мл и повышению потребности в гемотрансфузии на 20-30%, при этом серьезные геморрагические осложнения остаются редкими</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разрывах ахиллова сухожилия частота ВТЭ варьирует от 0,43% до 34% в зависимости от метода лечения и факторов риска. Пациентам высокого риска (оперативное лечение, возраст &gt;40 лет, ИМТ &gt;30 кг/м²) рекомендована профилактика НМГ или ривароксабаном в течение 28 дней. В группе низкого риска приоритет отдается ранней мобилизации и механической профилактике, хотя доказательная база для рутинного отказа от фармакопрофилактики остается недостаточной</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Ведение пациентов с фибрилляцией предсердий или венозным тромбозом в анамнезе, получающих ПОАК или варфарин, требует периоперационной корректировки режима. При плановых вмешательствах клопидогрел отменяется за 5-7 дней до операции для восстановления 70-80% функции тромбоцитов. Абсолютными противопоказаниями к отмене служат недавняя имплантация стента (менее 4 недель для голометаллических, 6-12 месяцев для стентов с лекарственным покрытием) и острый коронарный синдром в предшествующие 12 месяцев, в таких случаях решение принимается мультидисциплинарно с участием кардиолога</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Комбинация клопидогрела с НМГ увеличивает риск кровотечений, однако при правильном тайминге введения препаратов (НМГ через 12-24 часа после операции, механическая профилактика до этого момента) профиль безопасности остается приемлемым. Применение транексамовой кислоты у пациентов на антиагрегантах демонстрирует снижение кровопотери без увеличения частоты ВТЭ</w:t>
      </w:r>
      <w:hyperlink w:anchor="_Source_6">
        <w:r>
          <w:rPr>
            <w:rFonts w:ascii="Times New Roman" w:hAnsi="Times New Roman"/>
            <w:sz w:val="28"/>
            <w:rStyle w:val="Hyperlink"/>
          </w:rPr>
          <w:t>[6]</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ПРОТОКОЛЫ АНТИКОАГУЛЯНТНОЙ ТЕРАПИИ И МЕТОДОЛОГИЯ АУДИТА</w:t>
      </w:r>
    </w:p>
    <w:p>
      <w:pPr>
        <w:jc w:val="both"/>
        <w:ind w:firstLine="708"/>
        <w:spacing w:line="360" w:lineRule="auto"/>
      </w:pPr>
      <w:r>
        <w:rPr>
          <w:rFonts w:ascii="Times New Roman" w:hAnsi="Times New Roman"/>
          <w:sz w:val="28"/>
        </w:rPr>
        <w:t xml:space="preserve">Организация эффективной антикоагулянтной терапии после ортопедических операций требует четкого понимания существующих клинических протоколов и систематического подхода к оценке их соблюдения. Венозные тромбоэмболические осложнения (ВТЭ) остаются одной из ведущих причин предотвратимой госпитальной летальности, достигая 7,1% среди пациентов после эндопротезирования суставов</w:t>
      </w:r>
      <w:hyperlink w:anchor="_Source_9">
        <w:r>
          <w:rPr>
            <w:rFonts w:ascii="Times New Roman" w:hAnsi="Times New Roman"/>
            <w:sz w:val="28"/>
            <w:rStyle w:val="Hyperlink"/>
          </w:rPr>
          <w:t>[9]</w:t>
        </w:r>
      </w:hyperlink>
      <w:r>
        <w:rPr>
          <w:rFonts w:ascii="Times New Roman" w:hAnsi="Times New Roman"/>
          <w:sz w:val="28"/>
        </w:rPr>
        <w:t xml:space="preserve">. Несмотря на наличие доказательной базы и международных рекомендаций, приверженность к протоколам тромбопрофилактики в клинической практике остается недостаточной</w:t>
      </w:r>
      <w:hyperlink w:anchor="_Source_11">
        <w:r>
          <w:rPr>
            <w:rFonts w:ascii="Times New Roman" w:hAnsi="Times New Roman"/>
            <w:sz w:val="28"/>
            <w:rStyle w:val="Hyperlink"/>
          </w:rPr>
          <w:t>[11]</w:t>
        </w:r>
      </w:hyperlink>
      <w:hyperlink w:anchor="_Source_12">
        <w:r>
          <w:rPr>
            <w:rFonts w:ascii="Times New Roman" w:hAnsi="Times New Roman"/>
            <w:sz w:val="28"/>
            <w:rStyle w:val="Hyperlink"/>
          </w:rPr>
          <w:t>[12]</w:t>
        </w:r>
      </w:hyperlink>
      <w:r>
        <w:rPr>
          <w:rFonts w:ascii="Times New Roman" w:hAnsi="Times New Roman"/>
          <w:sz w:val="28"/>
        </w:rPr>
        <w:t xml:space="preserve">. Данный раздел посвящен анализу современных протоколов антикоагулянтной терапии в ортопедической хирургии и методологическим аспектам проведения клинического аудита их соблюдения.</w:t>
      </w:r>
    </w:p>
    <w:p>
      <w:pPr>
        <w:pStyle w:val="Heading2"/>
        <w:spacing w:before="240" w:after="120"/>
      </w:pPr>
      <w:r>
        <w:rPr>
          <w:rFonts w:ascii="Times New Roman" w:hAnsi="Times New Roman"/>
          <w:b/>
          <w:sz w:val="28"/>
        </w:rPr>
        <w:t xml:space="preserve">Анализ действующих протоколов антикоагулянтной терапии в ортопедии</w:t>
      </w:r>
    </w:p>
    <w:p>
      <w:pPr>
        <w:jc w:val="both"/>
        <w:ind w:firstLine="708"/>
        <w:spacing w:line="360" w:lineRule="auto"/>
      </w:pPr>
      <w:r>
        <w:rPr>
          <w:rFonts w:ascii="Times New Roman" w:hAnsi="Times New Roman"/>
          <w:sz w:val="28"/>
        </w:rPr>
        <w:t xml:space="preserve">Современные протоколы антикоагулянтной терапии в ортопедической хирургии базируются на международных клинических рекомендациях, среди которых ключевое значение имеют руководства American College of Chest Physicians (ACCP) и European Guidelines on perioperative venous thromboembolism prophylaxis. Эти документы обеспечивают доказательную основу для стратификации риска и выбора методов профилактики ВТЭ</w:t>
      </w:r>
      <w:hyperlink w:anchor="_Source_9">
        <w:r>
          <w:rPr>
            <w:rFonts w:ascii="Times New Roman" w:hAnsi="Times New Roman"/>
            <w:sz w:val="28"/>
            <w:rStyle w:val="Hyperlink"/>
          </w:rPr>
          <w:t>[9]</w:t>
        </w:r>
      </w:hyperlink>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Основу протоколов составляет стратификация пациентов по риску развития тромбоэмболических осложнений. Наиболее широко применяемой системой оценки является шкала Caprini, которая учитывает множественные факторы риска: возраст пациента, индекс массы тела, сопутствующие заболевания, тип хирургического вмешательства, продолжительность иммобилизации и предшествующий анамнез ВТЭ. Пациенты классифицируются на группы умеренного, высокого и очень высокого риска, что определяет интенсивность профилактических мероприятий</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ортопедических вмешательств характерна высокая частота ВТЭ при отсутствии профилактики. Эпидемиологические исследования в азиатском регионе демонстрируют, что у 41% пациентов без тромбопрофилактики после эндопротезирования коленного или тазобедренного сустава развиваются тромбоэмболические осложнения. Имплементация стандартных профилактических мер позволяет снизить частоту послеоперационных ВТЭ до 6-12%</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Фармакологические протоколы включают использование низкомолекулярных гепаринов (НМГ), нефракционированного гепарина, фондапаринукса и прямых оральных антикоагулянтов (ПОАК). Низкомолекулярные гепарины остаются препаратами первой линии благодаря оптимальному соотношению эффективности и безопасности. Согласно протоколам, фармакологическая профилактика должна быть инициирована в течение 24 часов после идентификации риска ВТЭ и продолжаться не менее 3 последовательных дней</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Критическим аспектом протоколов является продолжительность тромбопрофилактики. Мета-анализы указывают, что пиковый риск ВТЭ сохраняется в течение двух недель после крупных ортопедических операций и может персистировать до пяти недель. Современные рекомендации предписывают длительность фармакологической профилактики от 10 до 35 дней в зависимости от типа вмешательства и индивидуальных факторов риска</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Особое внимание в протоколах уделяется пациентам, получающим антитромботическую терапию. Транексамовая кислота, ингибирующая фибринолиз без прямого влияния на функцию тромбоцитов или факторы коагуляции, может безопасно применяться в комбинации с антиагрегантами и антикоагулянтами. Исследования демонстрируют, что транексамовая кислота значительно снижает интраоперационную кровопотерю (приблизительно на 370 мл) и частоту реопераций у пациентов на антиагрегантной терапии</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пациентов на пероральных антикоагулянтах протоколы рекомендуют раннее назначение транексамовой кислоты при острых кровотечениях. Исследование TICH-NOAC показало потенциальную пользу при введении препарата в течение 6 часов от начала симптомов у пациентов с интракраниальными кровоизлияниями на фоне приема ПОАК, без значимого увеличения нежелательных явлений</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протоколы также интегрируют немедикаментозные методы профилактики: раннюю мобилизацию пациентов, компрессионный трикотаж, перемежающуюся пневматическую компрессию и специальные упражнения для нижних конечностей. Эти меры дополняют фармакологическую профилактику и снижают риск венозного стаза</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Протоколы учитывают противопоказания к антикоагулянтной терапии, включая активное кровотечение, тяжелую тромбоцитопению, недавние нейрохирургические вмешательства и высокий риск геморрагических осложнений. В таких случаях приоритет отдается механическим методам профилактики до стабилизации состояния пациента</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Дозирование антикоагулянтов требует коррекции при почечной недостаточности. Пациенты со скоростью клубочковой фильтрации менее 30 мл/мин/1,73 м² нуждаются в снижении доз НМГ для предотвращения кумуляции препарата и повышенного риска кровотечений. Протоколы предписывают обязательный мониторинг функции почек у всех пациентов, получающих антикоагулянтную терапию</w:t>
      </w:r>
      <w:hyperlink w:anchor="_Source_9">
        <w:r>
          <w:rPr>
            <w:rFonts w:ascii="Times New Roman" w:hAnsi="Times New Roman"/>
            <w:sz w:val="28"/>
            <w:rStyle w:val="Hyperlink"/>
          </w:rPr>
          <w:t>[9]</w:t>
        </w:r>
      </w:hyperlink>
      <w:r>
        <w:rPr>
          <w:rFonts w:ascii="Times New Roman" w:hAnsi="Times New Roman"/>
          <w:sz w:val="28"/>
        </w:rPr>
        <w:t xml:space="preserve">.</w:t>
      </w:r>
    </w:p>
    <w:p>
      <w:pPr>
        <w:jc w:val="center"/>
        <w:spacing w:after="120"/>
      </w:pPr>
      <w:r>
        <w:rPr>
          <w:rFonts w:ascii="Times New Roman" w:hAnsi="Times New Roman"/>
          <w:sz w:val="24"/>
          <w:b/>
        </w:rPr>
        <w:t>Таблица 3. Основные компоненты протоколов антикоагулянтной терапии в ортопедии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Компонент</w:t>
            </w:r>
          </w:p>
        </w:tc>
        <w:tc>
          <w:tcPr>
            <w:vAlign w:val="center"/>
          </w:tcPr>
          <w:p>
            <w:pPr>
              <w:jc w:val="center"/>
            </w:pPr>
            <w:r>
              <w:rPr>
                <w:rFonts w:ascii="Times New Roman"/>
                <w:sz w:val="24"/>
                <w:b/>
              </w:rPr>
              <w:t>Ключевые элементы</w:t>
            </w:r>
          </w:p>
        </w:tc>
        <w:tc>
          <w:tcPr>
            <w:vAlign w:val="center"/>
          </w:tcPr>
          <w:p>
            <w:pPr>
              <w:jc w:val="center"/>
            </w:pPr>
            <w:r>
              <w:rPr>
                <w:rFonts w:ascii="Times New Roman"/>
                <w:sz w:val="24"/>
                <w:b/>
              </w:rPr>
              <w:t>Клиническое значение</w:t>
            </w:r>
          </w:p>
        </w:tc>
      </w:tr>
      <w:tr>
        <w:tc>
          <w:tcPr>
            <w:vAlign w:val="center"/>
          </w:tcPr>
          <w:p>
            <w:pPr>
              <w:jc w:val="center"/>
            </w:pPr>
            <w:r>
              <w:rPr>
                <w:rFonts w:ascii="Times New Roman"/>
                <w:sz w:val="24"/>
              </w:rPr>
              <w:t>Оценка риска</w:t>
            </w:r>
          </w:p>
        </w:tc>
        <w:tc>
          <w:tcPr>
            <w:vAlign w:val="center"/>
          </w:tcPr>
          <w:p>
            <w:pPr>
              <w:jc w:val="center"/>
            </w:pPr>
            <w:r>
              <w:rPr>
                <w:rFonts w:ascii="Times New Roman"/>
                <w:sz w:val="24"/>
              </w:rPr>
              <w:t>Шкала Caprini, индивидуальные факторы</w:t>
            </w:r>
          </w:p>
        </w:tc>
        <w:tc>
          <w:tcPr>
            <w:vAlign w:val="center"/>
          </w:tcPr>
          <w:p>
            <w:pPr>
              <w:jc w:val="center"/>
            </w:pPr>
            <w:r>
              <w:rPr>
                <w:rFonts w:ascii="Times New Roman"/>
                <w:sz w:val="24"/>
              </w:rPr>
              <w:t>Стратификация пациентов</w:t>
            </w:r>
          </w:p>
        </w:tc>
      </w:tr>
      <w:tr>
        <w:tc>
          <w:tcPr>
            <w:vAlign w:val="center"/>
          </w:tcPr>
          <w:p>
            <w:pPr>
              <w:jc w:val="center"/>
            </w:pPr>
            <w:r>
              <w:rPr>
                <w:rFonts w:ascii="Times New Roman"/>
                <w:sz w:val="24"/>
              </w:rPr>
              <w:t>Фармакопрофилактика</w:t>
            </w:r>
          </w:p>
        </w:tc>
        <w:tc>
          <w:tcPr>
            <w:vAlign w:val="center"/>
          </w:tcPr>
          <w:p>
            <w:pPr>
              <w:jc w:val="center"/>
            </w:pPr>
            <w:r>
              <w:rPr>
                <w:rFonts w:ascii="Times New Roman"/>
                <w:sz w:val="24"/>
              </w:rPr>
              <w:t>НМГ, фондапаринукс, ПОАК</w:t>
            </w:r>
          </w:p>
        </w:tc>
        <w:tc>
          <w:tcPr>
            <w:vAlign w:val="center"/>
          </w:tcPr>
          <w:p>
            <w:pPr>
              <w:jc w:val="center"/>
            </w:pPr>
            <w:r>
              <w:rPr>
                <w:rFonts w:ascii="Times New Roman"/>
                <w:sz w:val="24"/>
              </w:rPr>
              <w:t>Снижение частоты ВТЭ до 6-12%</w:t>
            </w:r>
          </w:p>
        </w:tc>
      </w:tr>
      <w:tr>
        <w:tc>
          <w:tcPr>
            <w:vAlign w:val="center"/>
          </w:tcPr>
          <w:p>
            <w:pPr>
              <w:jc w:val="center"/>
            </w:pPr>
            <w:r>
              <w:rPr>
                <w:rFonts w:ascii="Times New Roman"/>
                <w:sz w:val="24"/>
              </w:rPr>
              <w:t>Время начала</w:t>
            </w:r>
          </w:p>
        </w:tc>
        <w:tc>
          <w:tcPr>
            <w:vAlign w:val="center"/>
          </w:tcPr>
          <w:p>
            <w:pPr>
              <w:jc w:val="center"/>
            </w:pPr>
            <w:r>
              <w:rPr>
                <w:rFonts w:ascii="Times New Roman"/>
                <w:sz w:val="24"/>
              </w:rPr>
              <w:t>В течение 24 часов после операции</w:t>
            </w:r>
          </w:p>
        </w:tc>
        <w:tc>
          <w:tcPr>
            <w:vAlign w:val="center"/>
          </w:tcPr>
          <w:p>
            <w:pPr>
              <w:jc w:val="center"/>
            </w:pPr>
            <w:r>
              <w:rPr>
                <w:rFonts w:ascii="Times New Roman"/>
                <w:sz w:val="24"/>
              </w:rPr>
              <w:t>Оптимальная эффективность</w:t>
            </w:r>
          </w:p>
        </w:tc>
      </w:tr>
      <w:tr>
        <w:tc>
          <w:tcPr>
            <w:vAlign w:val="center"/>
          </w:tcPr>
          <w:p>
            <w:pPr>
              <w:jc w:val="center"/>
            </w:pPr>
            <w:r>
              <w:rPr>
                <w:rFonts w:ascii="Times New Roman"/>
                <w:sz w:val="24"/>
              </w:rPr>
              <w:t>Длительность</w:t>
            </w:r>
          </w:p>
        </w:tc>
        <w:tc>
          <w:tcPr>
            <w:vAlign w:val="center"/>
          </w:tcPr>
          <w:p>
            <w:pPr>
              <w:jc w:val="center"/>
            </w:pPr>
            <w:r>
              <w:rPr>
                <w:rFonts w:ascii="Times New Roman"/>
                <w:sz w:val="24"/>
              </w:rPr>
              <w:t>10-35 дней в зависимости от риска</w:t>
            </w:r>
          </w:p>
        </w:tc>
        <w:tc>
          <w:tcPr>
            <w:vAlign w:val="center"/>
          </w:tcPr>
          <w:p>
            <w:pPr>
              <w:jc w:val="center"/>
            </w:pPr>
            <w:r>
              <w:rPr>
                <w:rFonts w:ascii="Times New Roman"/>
                <w:sz w:val="24"/>
              </w:rPr>
              <w:t>Покрытие периода максимального риска</w:t>
            </w:r>
          </w:p>
        </w:tc>
      </w:tr>
      <w:tr>
        <w:tc>
          <w:tcPr>
            <w:vAlign w:val="center"/>
          </w:tcPr>
          <w:p>
            <w:pPr>
              <w:jc w:val="center"/>
            </w:pPr>
            <w:r>
              <w:rPr>
                <w:rFonts w:ascii="Times New Roman"/>
                <w:sz w:val="24"/>
              </w:rPr>
              <w:t>Механическая профилактика</w:t>
            </w:r>
          </w:p>
        </w:tc>
        <w:tc>
          <w:tcPr>
            <w:vAlign w:val="center"/>
          </w:tcPr>
          <w:p>
            <w:pPr>
              <w:jc w:val="center"/>
            </w:pPr>
            <w:r>
              <w:rPr>
                <w:rFonts w:ascii="Times New Roman"/>
                <w:sz w:val="24"/>
              </w:rPr>
              <w:t>Компрессия, ранняя мобилизация</w:t>
            </w:r>
          </w:p>
        </w:tc>
        <w:tc>
          <w:tcPr>
            <w:vAlign w:val="center"/>
          </w:tcPr>
          <w:p>
            <w:pPr>
              <w:jc w:val="center"/>
            </w:pPr>
            <w:r>
              <w:rPr>
                <w:rFonts w:ascii="Times New Roman"/>
                <w:sz w:val="24"/>
              </w:rPr>
              <w:t>Дополнение к медикаментозной терапии</w:t>
            </w:r>
          </w:p>
        </w:tc>
      </w:tr>
    </w:tbl>
    <w:p>
      <w:r>
        <w:t/>
      </w:r>
    </w:p>
    <w:p>
      <w:pPr>
        <w:pStyle w:val="Heading2"/>
        <w:spacing w:before="240" w:after="120"/>
      </w:pPr>
      <w:r>
        <w:rPr>
          <w:rFonts w:ascii="Times New Roman" w:hAnsi="Times New Roman"/>
          <w:b/>
          <w:sz w:val="28"/>
        </w:rPr>
        <w:t xml:space="preserve">Методология проведения клинического аудита соблюдения протоколов</w:t>
      </w:r>
    </w:p>
    <w:p>
      <w:pPr>
        <w:jc w:val="both"/>
        <w:ind w:firstLine="708"/>
        <w:spacing w:line="360" w:lineRule="auto"/>
      </w:pPr>
      <w:r>
        <w:rPr>
          <w:rFonts w:ascii="Times New Roman" w:hAnsi="Times New Roman"/>
          <w:sz w:val="28"/>
        </w:rPr>
        <w:t xml:space="preserve">Клинический аудит представляет собой систематический процесс оценки качества медицинской помощи через сравнение клинической практики с установленными стандартами и протоколами. В контексте антикоагулянтной терапии после ортопедических операций аудит направлен на выявление разрывов между рекомендуемыми и фактически применяемыми подходами к профилактике ВТЭ</w:t>
      </w:r>
      <w:hyperlink w:anchor="_Source_9">
        <w:r>
          <w:rPr>
            <w:rFonts w:ascii="Times New Roman" w:hAnsi="Times New Roman"/>
            <w:sz w:val="28"/>
            <w:rStyle w:val="Hyperlink"/>
          </w:rPr>
          <w:t>[9]</w:t>
        </w:r>
      </w:hyperlink>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Методология аудита начинается с определения критериев оценки, основанных на доказательных клинических рекомендациях. Первичными конечными точками обычно являются частота ВТЭ и доля пациентов, получающих адекватную фармакологическую профилактику. Вторичные показатели включают длительность антикоагулянтной терапии, выбор препаратов, частоту геморрагических осложнений и назначение последовательной пероральной антикоагулянтной терапии при выписке</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Дизайн исследования типа «до-после» является распространенным подходом для оценки влияния внедрения новых протоколов или программ управления. Этот метод предполагает сравнение клинических исходов и показателей соблюдения протоколов в периоды до и после имплементации интервенции. Ретроспективный обсервационный дизайн позволяет анализировать большие массивы данных из медицинских информационных систем</w:t>
      </w:r>
      <w:hyperlink w:anchor="_Source_9">
        <w:r>
          <w:rPr>
            <w:rFonts w:ascii="Times New Roman" w:hAnsi="Times New Roman"/>
            <w:sz w:val="28"/>
            <w:rStyle w:val="Hyperlink"/>
          </w:rPr>
          <w:t>[9]</w:t>
        </w:r>
      </w:hyperlink>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Выборка пациентов для аудита должна быть репрезентативной и достаточной для получения статистически значимых результатов. Критерии включения обычно охватывают взрослых пациентов, перенесших ортопедические операции с умеренным или высоким риском ВТЭ согласно шкале Caprini. Критерии исключения могут включать пациентов, уже получающих длительную антикоагулянтную терапию по другим показаниям, с диагностированным венозным тромбозом при поступлении или с положительным ультразвуковым исследованием вен нижних конечностей в первые 24 часа госпитализации</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Источниками данных служат электронные медицинские карты, системы поддержки клинических решений и специализированные фармацевтические информационные системы. Автоматизированный скрининг пациентов с использованием электронных систем повышает эффективность выявления случаев для аудита. Однако исследования показывают, что компьютеризированная оценка риска ВТЭ, основанная исключительно на данных электронных медицинских карт, может быть неточной, и личная оценка по шкале Caprini остается наиболее надежным методом</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Сбор данных включает демографическую информацию (пол, возраст, диагноз, локализация операции, длительность госпитализации), диагностику ВТЭ, геморрагические события и записи об использовании антикоагулянтов. Диагноз тромбоза глубоких вен подтверждается положительным допплеровским ультразвуковым исследованием у пациентов с отеком или болью в нижних конечностях на фоне повышенного уровня D-димера. Диагностика тромбоэмболии легочной артерии основывается на клинических проявлениях, лабораторных данных и компьютерной томографической ангиографии легких</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Геморрагические осложнения классифицируются согласно критериям Международного общества по тромбозу и гемостазу (ISTH) на большие и небольшие кровотечения. Оценка проводится на основании клинических симптомов, анализа кала на скрытую кровь, общего анализа мочи, измерения уровня гемоглобина и эндоскопических данных</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Статистический анализ данных аудита включает описательную статистику для непрерывных и категориальных переменных. Непрерывные переменные анализируются параметрическими (t-критерий Стьюдента) или непараметрическими методами (критерий Манна-Уитни) в зависимости от нормальности распределения. Категориальные переменные оцениваются с использованием критерия хи-квадрат или точного критерия Фишера</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Многофакторная логистическая регрессия применяется для корректировки потенциальных вмешивающихся факторов и определения независимых предикторов исходов. Анализ E-value используется для оценки устойчивости результатов к неизмеренным вмешивающимся факторам. Статистическая значимость устанавливается при двустороннем уровне α = 0,05</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методологии является оценка приверженности клинического персонала к протоколам. Исследования демонстрируют, что даже в академических клиниках адекватная фармакологическая тромбопрофилактика назначается только примерно половине пациентов из групп высокого риска</w:t>
      </w:r>
      <w:hyperlink w:anchor="_Source_11">
        <w:r>
          <w:rPr>
            <w:rFonts w:ascii="Times New Roman" w:hAnsi="Times New Roman"/>
            <w:sz w:val="28"/>
            <w:rStyle w:val="Hyperlink"/>
          </w:rPr>
          <w:t>[11]</w:t>
        </w:r>
      </w:hyperlink>
      <w:r>
        <w:rPr>
          <w:rFonts w:ascii="Times New Roman" w:hAnsi="Times New Roman"/>
          <w:sz w:val="28"/>
        </w:rPr>
        <w:t xml:space="preserve">. Факторы, влияющие на соблюдение протоколов, включают недооценку риска ВТЭ, переоценку риска кровотечений, недостаточное образование медицинского персонала и ресурсные ограничения</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Электронные системы поддержки клинических решений (e-DSS) рассматриваются как инструмент повышения приверженности к протоколам. Однако данные об их эффективности противоречивы. Некоторые исследования показывают снижение риска ВТЭ на 41% при внедрении добровольных электронных систем оповещения, в то время как другие не выявляют значимого влияния на частоту тромботических событий, особенно когда использование системы не является обязательным</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Ретроспективный анализ 177 851 медицинских карт пациентов до и после внедрения необязательной электронной системы поддержки решений показал отсутствие статистически значимых различий в частоте ВТЭ между группами (0,60% общая частота). Более того, в подгруппе терапевтических пациентов наблюдалось увеличение частоты ВТЭ в период после внедрения системы. Эти данные подчеркивают, что простое наличие электронного протокола не гарантирует достижения клинических целей без обеспечения высокой приверженности персонала</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Исследования указывают, что эффективность электронных протоколов тесно связана с уровнем их обязательности. Переход от добровольного к обязательному заполнению протоколов оценки риска ВТЭ значительно повышает показатели приверженности клинического персонала. Системы, позволяющие откладывать выполнение оценки риска, демонстрируют низкую эффективность, так как многие предупреждения игнорируются</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Роль клинических фармацевтов в аудите и управлении антикоагулянтной терапией приобретает все большее значение. Программы под руководством фармацевтов, включающие стандартизированную верификацию риска ВТЭ и проактивный мониторинг медикаментозной терапии, демонстрируют улучшение клинических исходов. Многофакторная регрессионная модель идентифицирует такие программы как независимый защитный фактор профилактики ВТЭ (отношение шансов 0,223, 95% доверительный интервал 0,093-0,535)</w:t>
      </w:r>
      <w:hyperlink w:anchor="_Source_9">
        <w:r>
          <w:rPr>
            <w:rFonts w:ascii="Times New Roman" w:hAnsi="Times New Roman"/>
            <w:sz w:val="28"/>
            <w:rStyle w:val="Hyperlink"/>
          </w:rPr>
          <w:t>[9]</w:t>
        </w:r>
      </w:hyperlink>
      <w:r>
        <w:rPr>
          <w:rFonts w:ascii="Times New Roman" w:hAnsi="Times New Roman"/>
          <w:sz w:val="28"/>
        </w:rPr>
        <w:t xml:space="preserve">.</w:t>
      </w:r>
    </w:p>
    <w:p>
      <w:pPr>
        <w:jc w:val="center"/>
        <w:spacing w:after="120"/>
      </w:pPr>
      <w:r>
        <w:rPr>
          <w:rFonts w:ascii="Times New Roman" w:hAnsi="Times New Roman"/>
          <w:sz w:val="24"/>
          <w:b/>
        </w:rPr>
        <w:t>Таблица 4. Ключевые элементы методологии клинического аудита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Этап аудита</w:t>
            </w:r>
          </w:p>
        </w:tc>
        <w:tc>
          <w:tcPr>
            <w:vAlign w:val="center"/>
          </w:tcPr>
          <w:p>
            <w:pPr>
              <w:jc w:val="center"/>
            </w:pPr>
            <w:r>
              <w:rPr>
                <w:rFonts w:ascii="Times New Roman"/>
                <w:sz w:val="24"/>
                <w:b/>
              </w:rPr>
              <w:t>Методы</w:t>
            </w:r>
          </w:p>
        </w:tc>
        <w:tc>
          <w:tcPr>
            <w:vAlign w:val="center"/>
          </w:tcPr>
          <w:p>
            <w:pPr>
              <w:jc w:val="center"/>
            </w:pPr>
            <w:r>
              <w:rPr>
                <w:rFonts w:ascii="Times New Roman"/>
                <w:sz w:val="24"/>
                <w:b/>
              </w:rPr>
              <w:t>Ожидаемые результаты</w:t>
            </w:r>
          </w:p>
        </w:tc>
      </w:tr>
      <w:tr>
        <w:tc>
          <w:tcPr>
            <w:vAlign w:val="center"/>
          </w:tcPr>
          <w:p>
            <w:pPr>
              <w:jc w:val="center"/>
            </w:pPr>
            <w:r>
              <w:rPr>
                <w:rFonts w:ascii="Times New Roman"/>
                <w:sz w:val="24"/>
              </w:rPr>
              <w:t>Определение критериев</w:t>
            </w:r>
          </w:p>
        </w:tc>
        <w:tc>
          <w:tcPr>
            <w:vAlign w:val="center"/>
          </w:tcPr>
          <w:p>
            <w:pPr>
              <w:jc w:val="center"/>
            </w:pPr>
            <w:r>
              <w:rPr>
                <w:rFonts w:ascii="Times New Roman"/>
                <w:sz w:val="24"/>
              </w:rPr>
              <w:t>Анализ клинических рекомендаций</w:t>
            </w:r>
          </w:p>
        </w:tc>
        <w:tc>
          <w:tcPr>
            <w:vAlign w:val="center"/>
          </w:tcPr>
          <w:p>
            <w:pPr>
              <w:jc w:val="center"/>
            </w:pPr>
            <w:r>
              <w:rPr>
                <w:rFonts w:ascii="Times New Roman"/>
                <w:sz w:val="24"/>
              </w:rPr>
              <w:t>Установление стандартов оценки</w:t>
            </w:r>
          </w:p>
        </w:tc>
      </w:tr>
      <w:tr>
        <w:tc>
          <w:tcPr>
            <w:vAlign w:val="center"/>
          </w:tcPr>
          <w:p>
            <w:pPr>
              <w:jc w:val="center"/>
            </w:pPr>
            <w:r>
              <w:rPr>
                <w:rFonts w:ascii="Times New Roman"/>
                <w:sz w:val="24"/>
              </w:rPr>
              <w:t>Сбор данных</w:t>
            </w:r>
          </w:p>
        </w:tc>
        <w:tc>
          <w:tcPr>
            <w:vAlign w:val="center"/>
          </w:tcPr>
          <w:p>
            <w:pPr>
              <w:jc w:val="center"/>
            </w:pPr>
            <w:r>
              <w:rPr>
                <w:rFonts w:ascii="Times New Roman"/>
                <w:sz w:val="24"/>
              </w:rPr>
              <w:t>Ретроспективный анализ ЭМК</w:t>
            </w:r>
          </w:p>
        </w:tc>
        <w:tc>
          <w:tcPr>
            <w:vAlign w:val="center"/>
          </w:tcPr>
          <w:p>
            <w:pPr>
              <w:jc w:val="center"/>
            </w:pPr>
            <w:r>
              <w:rPr>
                <w:rFonts w:ascii="Times New Roman"/>
                <w:sz w:val="24"/>
              </w:rPr>
              <w:t>Формирование базы данных пациентов</w:t>
            </w:r>
          </w:p>
        </w:tc>
      </w:tr>
      <w:tr>
        <w:tc>
          <w:tcPr>
            <w:vAlign w:val="center"/>
          </w:tcPr>
          <w:p>
            <w:pPr>
              <w:jc w:val="center"/>
            </w:pPr>
            <w:r>
              <w:rPr>
                <w:rFonts w:ascii="Times New Roman"/>
                <w:sz w:val="24"/>
              </w:rPr>
              <w:t>Оценка риска</w:t>
            </w:r>
          </w:p>
        </w:tc>
        <w:tc>
          <w:tcPr>
            <w:vAlign w:val="center"/>
          </w:tcPr>
          <w:p>
            <w:pPr>
              <w:jc w:val="center"/>
            </w:pPr>
            <w:r>
              <w:rPr>
                <w:rFonts w:ascii="Times New Roman"/>
                <w:sz w:val="24"/>
              </w:rPr>
              <w:t>Шкала Caprini, верификация фармацевтом</w:t>
            </w:r>
          </w:p>
        </w:tc>
        <w:tc>
          <w:tcPr>
            <w:vAlign w:val="center"/>
          </w:tcPr>
          <w:p>
            <w:pPr>
              <w:jc w:val="center"/>
            </w:pPr>
            <w:r>
              <w:rPr>
                <w:rFonts w:ascii="Times New Roman"/>
                <w:sz w:val="24"/>
              </w:rPr>
              <w:t>Точная стратификация пациентов</w:t>
            </w:r>
          </w:p>
        </w:tc>
      </w:tr>
      <w:tr>
        <w:tc>
          <w:tcPr>
            <w:vAlign w:val="center"/>
          </w:tcPr>
          <w:p>
            <w:pPr>
              <w:jc w:val="center"/>
            </w:pPr>
            <w:r>
              <w:rPr>
                <w:rFonts w:ascii="Times New Roman"/>
                <w:sz w:val="24"/>
              </w:rPr>
              <w:t>Анализ соблюдения</w:t>
            </w:r>
          </w:p>
        </w:tc>
        <w:tc>
          <w:tcPr>
            <w:vAlign w:val="center"/>
          </w:tcPr>
          <w:p>
            <w:pPr>
              <w:jc w:val="center"/>
            </w:pPr>
            <w:r>
              <w:rPr>
                <w:rFonts w:ascii="Times New Roman"/>
                <w:sz w:val="24"/>
              </w:rPr>
              <w:t>Сравнение с протоколами</w:t>
            </w:r>
          </w:p>
        </w:tc>
        <w:tc>
          <w:tcPr>
            <w:vAlign w:val="center"/>
          </w:tcPr>
          <w:p>
            <w:pPr>
              <w:jc w:val="center"/>
            </w:pPr>
            <w:r>
              <w:rPr>
                <w:rFonts w:ascii="Times New Roman"/>
                <w:sz w:val="24"/>
              </w:rPr>
              <w:t>Выявление разрывов в практике</w:t>
            </w:r>
          </w:p>
        </w:tc>
      </w:tr>
      <w:tr>
        <w:tc>
          <w:tcPr>
            <w:vAlign w:val="center"/>
          </w:tcPr>
          <w:p>
            <w:pPr>
              <w:jc w:val="center"/>
            </w:pPr>
            <w:r>
              <w:rPr>
                <w:rFonts w:ascii="Times New Roman"/>
                <w:sz w:val="24"/>
              </w:rPr>
              <w:t>Статистическая обработка</w:t>
            </w:r>
          </w:p>
        </w:tc>
        <w:tc>
          <w:tcPr>
            <w:vAlign w:val="center"/>
          </w:tcPr>
          <w:p>
            <w:pPr>
              <w:jc w:val="center"/>
            </w:pPr>
            <w:r>
              <w:rPr>
                <w:rFonts w:ascii="Times New Roman"/>
                <w:sz w:val="24"/>
              </w:rPr>
              <w:t>Регрессионный анализ, E-value</w:t>
            </w:r>
          </w:p>
        </w:tc>
        <w:tc>
          <w:tcPr>
            <w:vAlign w:val="center"/>
          </w:tcPr>
          <w:p>
            <w:pPr>
              <w:jc w:val="center"/>
            </w:pPr>
            <w:r>
              <w:rPr>
                <w:rFonts w:ascii="Times New Roman"/>
                <w:sz w:val="24"/>
              </w:rPr>
              <w:t>Определение независимых предикторов</w:t>
            </w:r>
          </w:p>
        </w:tc>
      </w:tr>
      <w:tr>
        <w:tc>
          <w:tcPr>
            <w:vAlign w:val="center"/>
          </w:tcPr>
          <w:p>
            <w:pPr>
              <w:jc w:val="center"/>
            </w:pPr>
            <w:r>
              <w:rPr>
                <w:rFonts w:ascii="Times New Roman"/>
                <w:sz w:val="24"/>
              </w:rPr>
              <w:t>Внедрение изменений</w:t>
            </w:r>
          </w:p>
        </w:tc>
        <w:tc>
          <w:tcPr>
            <w:vAlign w:val="center"/>
          </w:tcPr>
          <w:p>
            <w:pPr>
              <w:jc w:val="center"/>
            </w:pPr>
            <w:r>
              <w:rPr>
                <w:rFonts w:ascii="Times New Roman"/>
                <w:sz w:val="24"/>
              </w:rPr>
              <w:t>Обучение персонала, обязательные протоколы</w:t>
            </w:r>
          </w:p>
        </w:tc>
        <w:tc>
          <w:tcPr>
            <w:vAlign w:val="center"/>
          </w:tcPr>
          <w:p>
            <w:pPr>
              <w:jc w:val="center"/>
            </w:pPr>
            <w:r>
              <w:rPr>
                <w:rFonts w:ascii="Times New Roman"/>
                <w:sz w:val="24"/>
              </w:rPr>
              <w:t>Повышение приверженности к стандартам</w:t>
            </w:r>
          </w:p>
        </w:tc>
      </w:tr>
    </w:tbl>
    <w:p>
      <w:r>
        <w:t/>
      </w:r>
    </w:p>
    <w:p>
      <w:pPr>
        <w:jc w:val="both"/>
        <w:ind w:firstLine="708"/>
        <w:spacing w:line="360" w:lineRule="auto"/>
      </w:pPr>
      <w:r>
        <w:rPr>
          <w:rFonts w:ascii="Times New Roman" w:hAnsi="Times New Roman"/>
          <w:sz w:val="28"/>
        </w:rPr>
        <w:t xml:space="preserve">Методология аудита должна также учитывать экономические аспекты. Каждый случай ВТЭ влечет затраты на лечение от 12 400 до 13 900 долларов США. Абсолютное снижение риска на 5 событий на 100 пациентов благодаря программе под руководством фармацевтов позволяет предотвратить расходы, превышающие 60 000 долларов, что демонстрирует экономическую эффективность систематического подхода к управлению антикоагулянтной терапией</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Ограничения методологии аудита включают ретроспективный дизайн, ограничивающий полноту данных и возможность учета всех вмешивающихся факторов. Короткая продолжительность наблюдения может препятствовать полной оценке долгосрочных эффектов и поздних осложнений. Недостаточные кадровые ресурсы могут ограничивать возможность полного мониторинга соблюдения протоколов. Будущие исследования должны включать проспективные многоцентровые дизайны для валидации результатов аудита и разработки персонализированных протоколов для групп высокого риска</w:t>
      </w:r>
      <w:hyperlink w:anchor="_Source_9">
        <w:r>
          <w:rPr>
            <w:rFonts w:ascii="Times New Roman" w:hAnsi="Times New Roman"/>
            <w:sz w:val="28"/>
            <w:rStyle w:val="Hyperlink"/>
          </w:rPr>
          <w:t>[9]</w:t>
        </w:r>
      </w:hyperlink>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Эффективная профилактика венозных тромбоэмболических осложнений (ВТЭО) после ортопедических операций требует не только наличия клинических протоколов, но и систематического контроля их соблюдения. Аудит антикоагулянтной терапии представляет собой структурированный процесс оценки качества медицинской помощи, направленный на выявление отклонений от утверждённых стандартов и разработку корректирующих мероприятий. Методология аудита включает определение критериев оценки, систему документирования назначений и инструменты выявления несоответствий, что позволяет обеспечить баланс между профилактикой тромбозов и минимизацией геморрагических рисков</w:t>
      </w:r>
      <w:hyperlink w:anchor="_Source_9">
        <w:r>
          <w:rPr>
            <w:rFonts w:ascii="Times New Roman" w:hAnsi="Times New Roman"/>
            <w:sz w:val="28"/>
            <w:rStyle w:val="Hyperlink"/>
          </w:rPr>
          <w:t>[9]</w:t>
        </w:r>
      </w:hyperlink>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Критерии оценки эффективности и безопасности антикоагулянтной терапии</w:t>
      </w:r>
    </w:p>
    <w:p>
      <w:pPr>
        <w:jc w:val="both"/>
        <w:ind w:firstLine="708"/>
        <w:spacing w:line="360" w:lineRule="auto"/>
      </w:pPr>
      <w:r>
        <w:rPr>
          <w:rFonts w:ascii="Times New Roman" w:hAnsi="Times New Roman"/>
          <w:sz w:val="28"/>
        </w:rPr>
        <w:t xml:space="preserve">Оценка качества антикоагулянтной профилактики основывается на комплексе клинических, лабораторных и организационных показателей. Первичным критерием эффективности служит частота венозных тромбоэмболических событий, включающих тромбоз глубоких вен (ТГВ) и тромбоэмболию лёгочной артерии (ТЭЛА). Исследования демонстрируют, что при правильном применении фармакологической профилактики частота ВТЭО может быть снижена с 7,8% до 2,7%, что представляет собой абсолютное снижение риска на 5 событий на 100 пациентов</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Критерии эффективности включают не только абсолютную частоту тромботических осложнений, но и временные характеристики их возникновения. Раннее выявление ВТЭО в течение первых 48 часов после операции может указывать на недостаточную профилактику в периоперационном периоде, тогда как поздние события (после 2 недель) свидетельствуют о необходимости продления профилактики. Метаанализы показывают, что пик риска ВТЭО приходится на первые две недели после крупных ортопедических операций, сохраняясь в течение пяти недель, что обосновывает рекомендации по длительности профилактики от 10 до 35 дней</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Показатели безопасности антикоагулянтной терапии определяются согласно классификации Международного общества по тромбозу и гемостазу (ISTH). Большие кровотечения включают фатальные геморрагические осложнения, кровотечения в критических областях (интракраниальные, внутриглазные, спинальные), снижение гемоглобина более чем на 20 г/л или необходимость трансфузии двух и более единиц эритроцитарной массы. Малые клинически значимые кровотечения характеризуются явными признаками кровопотери, требующими медицинского вмешательства, но не соответствующими критериям больших кровотечений</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Данные клинических исследований показывают, что частота больших кровотечений при использовании низкомолекулярных гепаринов в ортопедической хирургии составляет 0,5-2%, тогда как малые кровотечения встречаются у 3-7% пациентов. Важным аспектом является отсутствие статистически значимого увеличения геморрагических осложнений при внедрении фармацевтических программ управления антикоагулянтной терапией, что подтверждает возможность безопасной интенсификации профилактики</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Организационные критерии качества включают показатели своевременности назначения антикоагулянтов. Оптимальным считается начало фармакологической профилактики в течение 24 часов после выявления риска ВТЭО с продолжительностью не менее 3 последовательных дней. Исследования демонстрируют, что в группе высокого риска частота назначения фармакологической профилактики может варьировать от 33,9% до 51,6%, что указывает на значительный потенциал для улучшения</w:t>
      </w:r>
      <w:hyperlink w:anchor="_Source_9">
        <w:r>
          <w:rPr>
            <w:rFonts w:ascii="Times New Roman" w:hAnsi="Times New Roman"/>
            <w:sz w:val="28"/>
            <w:rStyle w:val="Hyperlink"/>
          </w:rPr>
          <w:t>[9]</w:t>
        </w:r>
      </w:hyperlink>
      <w:r>
        <w:rPr>
          <w:rFonts w:ascii="Times New Roman" w:hAnsi="Times New Roman"/>
          <w:sz w:val="28"/>
        </w:rPr>
        <w:t xml:space="preserve">.</w:t>
      </w:r>
    </w:p>
    <w:p>
      <w:pPr>
        <w:jc w:val="center"/>
        <w:spacing w:after="120"/>
      </w:pPr>
      <w:r>
        <w:rPr>
          <w:rFonts w:ascii="Times New Roman" w:hAnsi="Times New Roman"/>
          <w:sz w:val="24"/>
          <w:b/>
        </w:rPr>
        <w:t>Таблица 5. Основные критерии оценки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Категория</w:t>
            </w:r>
          </w:p>
        </w:tc>
        <w:tc>
          <w:tcPr>
            <w:vAlign w:val="center"/>
          </w:tcPr>
          <w:p>
            <w:pPr>
              <w:jc w:val="center"/>
            </w:pPr>
            <w:r>
              <w:rPr>
                <w:rFonts w:ascii="Times New Roman"/>
                <w:sz w:val="24"/>
                <w:b/>
              </w:rPr>
              <w:t>Показатель</w:t>
            </w:r>
          </w:p>
        </w:tc>
        <w:tc>
          <w:tcPr>
            <w:vAlign w:val="center"/>
          </w:tcPr>
          <w:p>
            <w:pPr>
              <w:jc w:val="center"/>
            </w:pPr>
            <w:r>
              <w:rPr>
                <w:rFonts w:ascii="Times New Roman"/>
                <w:sz w:val="24"/>
                <w:b/>
              </w:rPr>
              <w:t>Целевое значение</w:t>
            </w:r>
          </w:p>
        </w:tc>
      </w:tr>
      <w:tr>
        <w:tc>
          <w:tcPr>
            <w:vAlign w:val="center"/>
          </w:tcPr>
          <w:p>
            <w:pPr>
              <w:jc w:val="center"/>
            </w:pPr>
            <w:r>
              <w:rPr>
                <w:rFonts w:ascii="Times New Roman"/>
                <w:sz w:val="24"/>
              </w:rPr>
              <w:t>Эффективность</w:t>
            </w:r>
          </w:p>
        </w:tc>
        <w:tc>
          <w:tcPr>
            <w:vAlign w:val="center"/>
          </w:tcPr>
          <w:p>
            <w:pPr>
              <w:jc w:val="center"/>
            </w:pPr>
            <w:r>
              <w:rPr>
                <w:rFonts w:ascii="Times New Roman"/>
                <w:sz w:val="24"/>
              </w:rPr>
              <w:t>Частота ВТЭО</w:t>
            </w:r>
          </w:p>
        </w:tc>
        <w:tc>
          <w:tcPr>
            <w:vAlign w:val="center"/>
          </w:tcPr>
          <w:p>
            <w:pPr>
              <w:jc w:val="center"/>
            </w:pPr>
            <w:r>
              <w:rPr>
                <w:rFonts w:ascii="Times New Roman"/>
                <w:sz w:val="24"/>
              </w:rPr>
              <w:t>&lt; 3%</w:t>
            </w:r>
          </w:p>
        </w:tc>
      </w:tr>
      <w:tr>
        <w:tc>
          <w:tcPr>
            <w:vAlign w:val="center"/>
          </w:tcPr>
          <w:p>
            <w:pPr>
              <w:jc w:val="center"/>
            </w:pPr>
            <w:r>
              <w:rPr>
                <w:rFonts w:ascii="Times New Roman"/>
                <w:sz w:val="24"/>
              </w:rPr>
              <w:t>Эффективность</w:t>
            </w:r>
          </w:p>
        </w:tc>
        <w:tc>
          <w:tcPr>
            <w:vAlign w:val="center"/>
          </w:tcPr>
          <w:p>
            <w:pPr>
              <w:jc w:val="center"/>
            </w:pPr>
            <w:r>
              <w:rPr>
                <w:rFonts w:ascii="Times New Roman"/>
                <w:sz w:val="24"/>
              </w:rPr>
              <w:t>Частота ТГВ</w:t>
            </w:r>
          </w:p>
        </w:tc>
        <w:tc>
          <w:tcPr>
            <w:vAlign w:val="center"/>
          </w:tcPr>
          <w:p>
            <w:pPr>
              <w:jc w:val="center"/>
            </w:pPr>
            <w:r>
              <w:rPr>
                <w:rFonts w:ascii="Times New Roman"/>
                <w:sz w:val="24"/>
              </w:rPr>
              <w:t>&lt; 2%</w:t>
            </w:r>
          </w:p>
        </w:tc>
      </w:tr>
      <w:tr>
        <w:tc>
          <w:tcPr>
            <w:vAlign w:val="center"/>
          </w:tcPr>
          <w:p>
            <w:pPr>
              <w:jc w:val="center"/>
            </w:pPr>
            <w:r>
              <w:rPr>
                <w:rFonts w:ascii="Times New Roman"/>
                <w:sz w:val="24"/>
              </w:rPr>
              <w:t>Эффективность</w:t>
            </w:r>
          </w:p>
        </w:tc>
        <w:tc>
          <w:tcPr>
            <w:vAlign w:val="center"/>
          </w:tcPr>
          <w:p>
            <w:pPr>
              <w:jc w:val="center"/>
            </w:pPr>
            <w:r>
              <w:rPr>
                <w:rFonts w:ascii="Times New Roman"/>
                <w:sz w:val="24"/>
              </w:rPr>
              <w:t>Частота ТЭЛА</w:t>
            </w:r>
          </w:p>
        </w:tc>
        <w:tc>
          <w:tcPr>
            <w:vAlign w:val="center"/>
          </w:tcPr>
          <w:p>
            <w:pPr>
              <w:jc w:val="center"/>
            </w:pPr>
            <w:r>
              <w:rPr>
                <w:rFonts w:ascii="Times New Roman"/>
                <w:sz w:val="24"/>
              </w:rPr>
              <w:t>&lt; 1%</w:t>
            </w:r>
          </w:p>
        </w:tc>
      </w:tr>
      <w:tr>
        <w:tc>
          <w:tcPr>
            <w:vAlign w:val="center"/>
          </w:tcPr>
          <w:p>
            <w:pPr>
              <w:jc w:val="center"/>
            </w:pPr>
            <w:r>
              <w:rPr>
                <w:rFonts w:ascii="Times New Roman"/>
                <w:sz w:val="24"/>
              </w:rPr>
              <w:t>Безопасность</w:t>
            </w:r>
          </w:p>
        </w:tc>
        <w:tc>
          <w:tcPr>
            <w:vAlign w:val="center"/>
          </w:tcPr>
          <w:p>
            <w:pPr>
              <w:jc w:val="center"/>
            </w:pPr>
            <w:r>
              <w:rPr>
                <w:rFonts w:ascii="Times New Roman"/>
                <w:sz w:val="24"/>
              </w:rPr>
              <w:t>Большие кровотечения</w:t>
            </w:r>
          </w:p>
        </w:tc>
        <w:tc>
          <w:tcPr>
            <w:vAlign w:val="center"/>
          </w:tcPr>
          <w:p>
            <w:pPr>
              <w:jc w:val="center"/>
            </w:pPr>
            <w:r>
              <w:rPr>
                <w:rFonts w:ascii="Times New Roman"/>
                <w:sz w:val="24"/>
              </w:rPr>
              <w:t>&lt; 2%</w:t>
            </w:r>
          </w:p>
        </w:tc>
      </w:tr>
      <w:tr>
        <w:tc>
          <w:tcPr>
            <w:vAlign w:val="center"/>
          </w:tcPr>
          <w:p>
            <w:pPr>
              <w:jc w:val="center"/>
            </w:pPr>
            <w:r>
              <w:rPr>
                <w:rFonts w:ascii="Times New Roman"/>
                <w:sz w:val="24"/>
              </w:rPr>
              <w:t>Безопасность</w:t>
            </w:r>
          </w:p>
        </w:tc>
        <w:tc>
          <w:tcPr>
            <w:vAlign w:val="center"/>
          </w:tcPr>
          <w:p>
            <w:pPr>
              <w:jc w:val="center"/>
            </w:pPr>
            <w:r>
              <w:rPr>
                <w:rFonts w:ascii="Times New Roman"/>
                <w:sz w:val="24"/>
              </w:rPr>
              <w:t>Малые кровотечения</w:t>
            </w:r>
          </w:p>
        </w:tc>
        <w:tc>
          <w:tcPr>
            <w:vAlign w:val="center"/>
          </w:tcPr>
          <w:p>
            <w:pPr>
              <w:jc w:val="center"/>
            </w:pPr>
            <w:r>
              <w:rPr>
                <w:rFonts w:ascii="Times New Roman"/>
                <w:sz w:val="24"/>
              </w:rPr>
              <w:t>&lt; 7%</w:t>
            </w:r>
          </w:p>
        </w:tc>
      </w:tr>
      <w:tr>
        <w:tc>
          <w:tcPr>
            <w:vAlign w:val="center"/>
          </w:tcPr>
          <w:p>
            <w:pPr>
              <w:jc w:val="center"/>
            </w:pPr>
            <w:r>
              <w:rPr>
                <w:rFonts w:ascii="Times New Roman"/>
                <w:sz w:val="24"/>
              </w:rPr>
              <w:t>Процесс</w:t>
            </w:r>
          </w:p>
        </w:tc>
        <w:tc>
          <w:tcPr>
            <w:vAlign w:val="center"/>
          </w:tcPr>
          <w:p>
            <w:pPr>
              <w:jc w:val="center"/>
            </w:pPr>
            <w:r>
              <w:rPr>
                <w:rFonts w:ascii="Times New Roman"/>
                <w:sz w:val="24"/>
              </w:rPr>
              <w:t>Назначение в течение 24 ч</w:t>
            </w:r>
          </w:p>
        </w:tc>
        <w:tc>
          <w:tcPr>
            <w:vAlign w:val="center"/>
          </w:tcPr>
          <w:p>
            <w:pPr>
              <w:jc w:val="center"/>
            </w:pPr>
            <w:r>
              <w:rPr>
                <w:rFonts w:ascii="Times New Roman"/>
                <w:sz w:val="24"/>
              </w:rPr>
              <w:t>&gt; 90%</w:t>
            </w:r>
          </w:p>
        </w:tc>
      </w:tr>
      <w:tr>
        <w:tc>
          <w:tcPr>
            <w:vAlign w:val="center"/>
          </w:tcPr>
          <w:p>
            <w:pPr>
              <w:jc w:val="center"/>
            </w:pPr>
            <w:r>
              <w:rPr>
                <w:rFonts w:ascii="Times New Roman"/>
                <w:sz w:val="24"/>
              </w:rPr>
              <w:t>Процесс</w:t>
            </w:r>
          </w:p>
        </w:tc>
        <w:tc>
          <w:tcPr>
            <w:vAlign w:val="center"/>
          </w:tcPr>
          <w:p>
            <w:pPr>
              <w:jc w:val="center"/>
            </w:pPr>
            <w:r>
              <w:rPr>
                <w:rFonts w:ascii="Times New Roman"/>
                <w:sz w:val="24"/>
              </w:rPr>
              <w:t>Длительность ≥ 3 дней</w:t>
            </w:r>
          </w:p>
        </w:tc>
        <w:tc>
          <w:tcPr>
            <w:vAlign w:val="center"/>
          </w:tcPr>
          <w:p>
            <w:pPr>
              <w:jc w:val="center"/>
            </w:pPr>
            <w:r>
              <w:rPr>
                <w:rFonts w:ascii="Times New Roman"/>
                <w:sz w:val="24"/>
              </w:rPr>
              <w:t>&gt; 85%</w:t>
            </w:r>
          </w:p>
        </w:tc>
      </w:tr>
    </w:tbl>
    <w:p>
      <w:r>
        <w:t/>
      </w:r>
    </w:p>
    <w:p>
      <w:pPr>
        <w:jc w:val="both"/>
        <w:ind w:firstLine="708"/>
        <w:spacing w:line="360" w:lineRule="auto"/>
      </w:pPr>
      <w:r>
        <w:rPr>
          <w:rFonts w:ascii="Times New Roman" w:hAnsi="Times New Roman"/>
          <w:sz w:val="28"/>
        </w:rPr>
        <w:t xml:space="preserve">Дополнительным критерием служит соответствие выбора антикоагулянта клиническим рекомендациям с учётом индивидуальных факторов риска. Модель оценки риска Caprini, широко применяемая в ортопедической практике, позволяет стратифицировать пациентов и определять интенсивность профилактики. Для пациентов с умеренным риском (5-8 баллов) рекомендуется механическая или фармакологическая профилактика, тогда как высокий риск (≥9 баллов) требует комбинированного подхода</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Лабораторный мониторинг включает контроль уровня гемоглобина, гематокрита, количества тромбоцитов и показателей коагуляции. Особое внимание уделяется пациентам с почечной недостаточностью, где требуется коррекция доз низкомолекулярных гепаринов в зависимости от клиренса креатинина. При расчётной скорости клубочковой фильтрации менее 30 мл/мин/1,73 м² рекомендуется снижение дозы или переход на нефракционированный гепарин</w:t>
      </w:r>
      <w:hyperlink w:anchor="_Source_9">
        <w:r>
          <w:rPr>
            <w:rFonts w:ascii="Times New Roman" w:hAnsi="Times New Roman"/>
            <w:sz w:val="28"/>
            <w:rStyle w:val="Hyperlink"/>
          </w:rPr>
          <w:t>[9]</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Система мониторинга и документирования назначений антикоагулянтов</w:t>
      </w:r>
    </w:p>
    <w:p>
      <w:pPr>
        <w:jc w:val="both"/>
        <w:ind w:firstLine="708"/>
        <w:spacing w:line="360" w:lineRule="auto"/>
      </w:pPr>
      <w:r>
        <w:rPr>
          <w:rFonts w:ascii="Times New Roman" w:hAnsi="Times New Roman"/>
          <w:sz w:val="28"/>
        </w:rPr>
        <w:t xml:space="preserve">Эффективная система мониторинга антикоагулянтной терапии базируется на интеграции электронных медицинских записей с инструментами поддержки клинических решений. Внедрение электронных систем поддержки принятия решений (e-DSS) позволяет автоматизировать оценку риска ВТЭО и генерировать рекомендации по профилактике. Исследования показывают, что использование таких систем способствует повышению частоты назначения тромбопрофилактики, хотя эффективность существенно зависит от обязательности заполнения протоколов</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Документирование антикоагулянтной терапии должно включать несколько обязательных компонентов. Первичная оценка риска ВТЭО проводится при поступлении пациента с использованием валидированных шкал, таких как модель Caprini. Электронная система автоматически рассчитывает балльную оценку на основании данных анамнеза, физикального осмотра и результатов обследований. Однако автоматический расчёт требует верификации клиническим фармацевтом или врачом, поскольку системы могут переоценивать риск из-за некорректной интерпретации данных</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Стандартизированная форма назначения антикоагулянтов должна содержать следующие элементы: выбранный препарат с указанием дозы и кратности введения, обоснование выбора на основании оценки риска, планируемую длительность профилактики, противопоказания и особые указания. Исследования демонстрируют, что структурированные электронные формы назначений повышают полноту документирования и снижают частоту ошибок по сравнению со свободным текстовым форматом</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Динамический мониторинг включает ежедневную переоценку необходимости продолжения антикоагулянтной терапии с учётом изменения клинического состояния пациента. Система должна генерировать напоминания о необходимости оценки при переводе пациента между отделениями, изменении режима двигательной активности или появлении признаков кровотечения. Данные показывают, что электронные напоминания при переводах пациентов повышают преемственность профилактики и снижают риск пропуска доз антикоагулянтов</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Роль клинического фармацевта в системе мониторинга является центральной. Фармацевтические программы управления ВТЭО предполагают проактивную идентификацию пациентов группы риска, верификацию автоматически рассчитанных оценок риска, предоставление индивидуализированных рекомендаций по выбору препарата и дозы, а также мониторинг безопасности терапии. Программы с участием фармацевтов демонстрируют снижение частоты ВТЭО с 7,8% до 2,7% и повышение частоты назначения профилактики в группе высокого риска с 33,9% до 51,6%</w:t>
      </w:r>
      <w:hyperlink w:anchor="_Source_9">
        <w:r>
          <w:rPr>
            <w:rFonts w:ascii="Times New Roman" w:hAnsi="Times New Roman"/>
            <w:sz w:val="28"/>
            <w:rStyle w:val="Hyperlink"/>
          </w:rPr>
          <w:t>[9]</w:t>
        </w:r>
      </w:hyperlink>
      <w:r>
        <w:rPr>
          <w:rFonts w:ascii="Times New Roman" w:hAnsi="Times New Roman"/>
          <w:sz w:val="28"/>
        </w:rPr>
        <w:t xml:space="preserve">.</w:t>
      </w:r>
    </w:p>
    <w:p>
      <w:pPr>
        <w:jc w:val="center"/>
        <w:spacing w:after="120"/>
      </w:pPr>
      <w:r>
        <w:rPr>
          <w:rFonts w:ascii="Times New Roman" w:hAnsi="Times New Roman"/>
          <w:sz w:val="24"/>
          <w:b/>
        </w:rPr>
        <w:t>Таблица 6. Компоненты системы документирования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Этап</w:t>
            </w:r>
          </w:p>
        </w:tc>
        <w:tc>
          <w:tcPr>
            <w:vAlign w:val="center"/>
          </w:tcPr>
          <w:p>
            <w:pPr>
              <w:jc w:val="center"/>
            </w:pPr>
            <w:r>
              <w:rPr>
                <w:rFonts w:ascii="Times New Roman"/>
                <w:sz w:val="24"/>
                <w:b/>
              </w:rPr>
              <w:t>Документируемые параметры</w:t>
            </w:r>
          </w:p>
        </w:tc>
        <w:tc>
          <w:tcPr>
            <w:vAlign w:val="center"/>
          </w:tcPr>
          <w:p>
            <w:pPr>
              <w:jc w:val="center"/>
            </w:pPr>
            <w:r>
              <w:rPr>
                <w:rFonts w:ascii="Times New Roman"/>
                <w:sz w:val="24"/>
                <w:b/>
              </w:rPr>
              <w:t>Ответственный</w:t>
            </w:r>
          </w:p>
        </w:tc>
      </w:tr>
      <w:tr>
        <w:tc>
          <w:tcPr>
            <w:vAlign w:val="center"/>
          </w:tcPr>
          <w:p>
            <w:pPr>
              <w:jc w:val="center"/>
            </w:pPr>
            <w:r>
              <w:rPr>
                <w:rFonts w:ascii="Times New Roman"/>
                <w:sz w:val="24"/>
              </w:rPr>
              <w:t>Поступление</w:t>
            </w:r>
          </w:p>
        </w:tc>
        <w:tc>
          <w:tcPr>
            <w:vAlign w:val="center"/>
          </w:tcPr>
          <w:p>
            <w:pPr>
              <w:jc w:val="center"/>
            </w:pPr>
            <w:r>
              <w:rPr>
                <w:rFonts w:ascii="Times New Roman"/>
                <w:sz w:val="24"/>
              </w:rPr>
              <w:t>Оценка риска ВТЭО, риск кровотечения</w:t>
            </w:r>
          </w:p>
        </w:tc>
        <w:tc>
          <w:tcPr>
            <w:vAlign w:val="center"/>
          </w:tcPr>
          <w:p>
            <w:pPr>
              <w:jc w:val="center"/>
            </w:pPr>
            <w:r>
              <w:rPr>
                <w:rFonts w:ascii="Times New Roman"/>
                <w:sz w:val="24"/>
              </w:rPr>
              <w:t>Врач/Фармацевт</w:t>
            </w:r>
          </w:p>
        </w:tc>
      </w:tr>
      <w:tr>
        <w:tc>
          <w:tcPr>
            <w:vAlign w:val="center"/>
          </w:tcPr>
          <w:p>
            <w:pPr>
              <w:jc w:val="center"/>
            </w:pPr>
            <w:r>
              <w:rPr>
                <w:rFonts w:ascii="Times New Roman"/>
                <w:sz w:val="24"/>
              </w:rPr>
              <w:t>Назначение</w:t>
            </w:r>
          </w:p>
        </w:tc>
        <w:tc>
          <w:tcPr>
            <w:vAlign w:val="center"/>
          </w:tcPr>
          <w:p>
            <w:pPr>
              <w:jc w:val="center"/>
            </w:pPr>
            <w:r>
              <w:rPr>
                <w:rFonts w:ascii="Times New Roman"/>
                <w:sz w:val="24"/>
              </w:rPr>
              <w:t>Препарат, доза, длительность, обоснование</w:t>
            </w:r>
          </w:p>
        </w:tc>
        <w:tc>
          <w:tcPr>
            <w:vAlign w:val="center"/>
          </w:tcPr>
          <w:p>
            <w:pPr>
              <w:jc w:val="center"/>
            </w:pPr>
            <w:r>
              <w:rPr>
                <w:rFonts w:ascii="Times New Roman"/>
                <w:sz w:val="24"/>
              </w:rPr>
              <w:t>Врач</w:t>
            </w:r>
          </w:p>
        </w:tc>
      </w:tr>
      <w:tr>
        <w:tc>
          <w:tcPr>
            <w:vAlign w:val="center"/>
          </w:tcPr>
          <w:p>
            <w:pPr>
              <w:jc w:val="center"/>
            </w:pPr>
            <w:r>
              <w:rPr>
                <w:rFonts w:ascii="Times New Roman"/>
                <w:sz w:val="24"/>
              </w:rPr>
              <w:t>Введение</w:t>
            </w:r>
          </w:p>
        </w:tc>
        <w:tc>
          <w:tcPr>
            <w:vAlign w:val="center"/>
          </w:tcPr>
          <w:p>
            <w:pPr>
              <w:jc w:val="center"/>
            </w:pPr>
            <w:r>
              <w:rPr>
                <w:rFonts w:ascii="Times New Roman"/>
                <w:sz w:val="24"/>
              </w:rPr>
              <w:t>Время, доза, место инъекции</w:t>
            </w:r>
          </w:p>
        </w:tc>
        <w:tc>
          <w:tcPr>
            <w:vAlign w:val="center"/>
          </w:tcPr>
          <w:p>
            <w:pPr>
              <w:jc w:val="center"/>
            </w:pPr>
            <w:r>
              <w:rPr>
                <w:rFonts w:ascii="Times New Roman"/>
                <w:sz w:val="24"/>
              </w:rPr>
              <w:t>Медсестра</w:t>
            </w:r>
          </w:p>
        </w:tc>
      </w:tr>
      <w:tr>
        <w:tc>
          <w:tcPr>
            <w:vAlign w:val="center"/>
          </w:tcPr>
          <w:p>
            <w:pPr>
              <w:jc w:val="center"/>
            </w:pPr>
            <w:r>
              <w:rPr>
                <w:rFonts w:ascii="Times New Roman"/>
                <w:sz w:val="24"/>
              </w:rPr>
              <w:t>Мониторинг</w:t>
            </w:r>
          </w:p>
        </w:tc>
        <w:tc>
          <w:tcPr>
            <w:vAlign w:val="center"/>
          </w:tcPr>
          <w:p>
            <w:pPr>
              <w:jc w:val="center"/>
            </w:pPr>
            <w:r>
              <w:rPr>
                <w:rFonts w:ascii="Times New Roman"/>
                <w:sz w:val="24"/>
              </w:rPr>
              <w:t>Лабораторные показатели, признаки ВТЭО/кровотечения</w:t>
            </w:r>
          </w:p>
        </w:tc>
        <w:tc>
          <w:tcPr>
            <w:vAlign w:val="center"/>
          </w:tcPr>
          <w:p>
            <w:pPr>
              <w:jc w:val="center"/>
            </w:pPr>
            <w:r>
              <w:rPr>
                <w:rFonts w:ascii="Times New Roman"/>
                <w:sz w:val="24"/>
              </w:rPr>
              <w:t>Врач/Фармацевт</w:t>
            </w:r>
          </w:p>
        </w:tc>
      </w:tr>
      <w:tr>
        <w:tc>
          <w:tcPr>
            <w:vAlign w:val="center"/>
          </w:tcPr>
          <w:p>
            <w:pPr>
              <w:jc w:val="center"/>
            </w:pPr>
            <w:r>
              <w:rPr>
                <w:rFonts w:ascii="Times New Roman"/>
                <w:sz w:val="24"/>
              </w:rPr>
              <w:t>Переоценка</w:t>
            </w:r>
          </w:p>
        </w:tc>
        <w:tc>
          <w:tcPr>
            <w:vAlign w:val="center"/>
          </w:tcPr>
          <w:p>
            <w:pPr>
              <w:jc w:val="center"/>
            </w:pPr>
            <w:r>
              <w:rPr>
                <w:rFonts w:ascii="Times New Roman"/>
                <w:sz w:val="24"/>
              </w:rPr>
              <w:t>Актуальность продолжения, коррекция дозы</w:t>
            </w:r>
          </w:p>
        </w:tc>
        <w:tc>
          <w:tcPr>
            <w:vAlign w:val="center"/>
          </w:tcPr>
          <w:p>
            <w:pPr>
              <w:jc w:val="center"/>
            </w:pPr>
            <w:r>
              <w:rPr>
                <w:rFonts w:ascii="Times New Roman"/>
                <w:sz w:val="24"/>
              </w:rPr>
              <w:t>Врач/Фармацевт</w:t>
            </w:r>
          </w:p>
        </w:tc>
      </w:tr>
      <w:tr>
        <w:tc>
          <w:tcPr>
            <w:vAlign w:val="center"/>
          </w:tcPr>
          <w:p>
            <w:pPr>
              <w:jc w:val="center"/>
            </w:pPr>
            <w:r>
              <w:rPr>
                <w:rFonts w:ascii="Times New Roman"/>
                <w:sz w:val="24"/>
              </w:rPr>
              <w:t>Выписка</w:t>
            </w:r>
          </w:p>
        </w:tc>
        <w:tc>
          <w:tcPr>
            <w:vAlign w:val="center"/>
          </w:tcPr>
          <w:p>
            <w:pPr>
              <w:jc w:val="center"/>
            </w:pPr>
            <w:r>
              <w:rPr>
                <w:rFonts w:ascii="Times New Roman"/>
                <w:sz w:val="24"/>
              </w:rPr>
              <w:t>Рекомендации по продолжению профилактики</w:t>
            </w:r>
          </w:p>
        </w:tc>
        <w:tc>
          <w:tcPr>
            <w:vAlign w:val="center"/>
          </w:tcPr>
          <w:p>
            <w:pPr>
              <w:jc w:val="center"/>
            </w:pPr>
            <w:r>
              <w:rPr>
                <w:rFonts w:ascii="Times New Roman"/>
                <w:sz w:val="24"/>
              </w:rPr>
              <w:t>Врач/Фармацевт</w:t>
            </w:r>
          </w:p>
        </w:tc>
      </w:tr>
    </w:tbl>
    <w:p>
      <w:r>
        <w:t/>
      </w:r>
    </w:p>
    <w:p>
      <w:pPr>
        <w:jc w:val="both"/>
        <w:ind w:firstLine="708"/>
        <w:spacing w:line="360" w:lineRule="auto"/>
      </w:pPr>
      <w:r>
        <w:rPr>
          <w:rFonts w:ascii="Times New Roman" w:hAnsi="Times New Roman"/>
          <w:sz w:val="28"/>
        </w:rPr>
        <w:t xml:space="preserve">Особое внимание уделяется документированию причин отклонения от рекомендаций. Если врач принимает решение не назначать профилактику пациенту высокого риска или прекратить её досрочно, система должна требовать обязательного указания причины. Анализ таких случаев позволяет выявлять системные проблемы и области для образовательных вмешательств. Исследования показывают, что необязательность заполнения протоколов оценки риска приводит к их игнорированию и снижает эффективность системы</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Интеграция с лабораторной информационной системой обеспечивает автоматическое отображение результатов коагулограммы, показателей функции почек и печени, что критически важно для своевременной коррекции доз антикоагулянтов. Система должна генерировать предупреждения при выявлении тромбоцитопении, значительных изменений показателей коагуляции или ухудшении функции почек, требующих пересмотра режима дозирования</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Документирование последовательной пероральной антикоагулянтной терапии при выписке представляет собой важный аспект обеспечения непрерывности профилактики. Данные показывают, что частота назначения пероральных антикоагулянтов при выписке может увеличиваться с 2,3% до 29,4% при внедрении фармацевтических программ, что обеспечивает продление профилактики до рекомендуемых сроков</w:t>
      </w:r>
      <w:hyperlink w:anchor="_Source_9">
        <w:r>
          <w:rPr>
            <w:rFonts w:ascii="Times New Roman" w:hAnsi="Times New Roman"/>
            <w:sz w:val="28"/>
            <w:rStyle w:val="Hyperlink"/>
          </w:rPr>
          <w:t>[9]</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Инструменты выявления отклонений от протоколов</w:t>
      </w:r>
    </w:p>
    <w:p>
      <w:pPr>
        <w:jc w:val="both"/>
        <w:ind w:firstLine="708"/>
        <w:spacing w:line="360" w:lineRule="auto"/>
      </w:pPr>
      <w:r>
        <w:rPr>
          <w:rFonts w:ascii="Times New Roman" w:hAnsi="Times New Roman"/>
          <w:sz w:val="28"/>
        </w:rPr>
        <w:t xml:space="preserve">Выявление отклонений от клинических протоколов антикоагулянтной терапии требует применения многоуровневой системы аудита, включающей автоматизированный скрининг, экспертную оценку и анализ клинических исходов. Автоматизированные инструменты на базе электронных медицинских записей позволяют идентифицировать потенциальные несоответствия в режиме реального времени или при ретроспективном анализе</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Первичный автоматизированный скрининг основывается на заранее определённых правилах и алгоритмах. Система может автоматически выявлять следующие типы отклонений: отсутствие назначения профилактики у пациентов с высоким риском ВТЭО, использование субоптимальных доз антикоагулянтов, несоответствие выбора препарата клиническим рекомендациям, отсутствие коррекции дозы при почечной недостаточности, преждевременное прекращение профилактики. Чувствительность автоматизированных систем к выявлению несоответствий может достигать 85-90%, однако специфичность часто ниже из-за невозможности учёта всех клинических нюансов</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Клинический фармацевт выполняет экспертную оценку случаев, выявленных автоматизированной системой, а также проводит целенаправленный аудит медицинских записей. Фармацевтический аудит включает проверку правильности расчёта риска ВТЭО с учётом всех факторов риска, оценку адекватности выбора антикоагулянта и режима дозирования, анализ своевременности начала профилактики, контроль длительности терапии в соответствии с рекомендациями, выявление лекарственных взаимодействий и оценку мониторинга лабораторных показателей. Время, затрачиваемое на консультацию или образовательную сессию по антикоагулянтной терапии, составляет приблизительно 15-20 минут на одного пациента</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Ретроспективный анализ клинических исходов представляет собой ключевой инструмент оценки качества профилактики ВТЭО. Периодический аудит должен включать расчёт частоты тромботических и геморрагических осложнений, анализ случаев ВТЭО с оценкой адекватности профилактики, оценку частоты и причин отклонений от протоколов, сравнение показателей между различными отделениями или хирургическими бригадами. Исследования демонстрируют, что систематический аудит с обратной связью способствует улучшению показателей качества профилактики</w:t>
      </w:r>
      <w:hyperlink w:anchor="_Source_9">
        <w:r>
          <w:rPr>
            <w:rFonts w:ascii="Times New Roman" w:hAnsi="Times New Roman"/>
            <w:sz w:val="28"/>
            <w:rStyle w:val="Hyperlink"/>
          </w:rPr>
          <w:t>[9]</w:t>
        </w:r>
      </w:hyperlink>
      <w:hyperlink w:anchor="_Source_12">
        <w:r>
          <w:rPr>
            <w:rFonts w:ascii="Times New Roman" w:hAnsi="Times New Roman"/>
            <w:sz w:val="28"/>
            <w:rStyle w:val="Hyperlink"/>
          </w:rPr>
          <w:t>[12]</w:t>
        </w:r>
      </w:hyperlink>
      <w:r>
        <w:rPr>
          <w:rFonts w:ascii="Times New Roman" w:hAnsi="Times New Roman"/>
          <w:sz w:val="28"/>
        </w:rPr>
        <w:t xml:space="preserve">.</w:t>
      </w:r>
    </w:p>
    <w:p>
      <w:pPr>
        <w:jc w:val="center"/>
        <w:spacing w:after="120"/>
      </w:pPr>
      <w:r>
        <w:rPr>
          <w:rFonts w:ascii="Times New Roman" w:hAnsi="Times New Roman"/>
          <w:sz w:val="24"/>
          <w:b/>
        </w:rPr>
        <w:t>Таблица 7. Методы выявления отклонений от протоколов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Метод</w:t>
            </w:r>
          </w:p>
        </w:tc>
        <w:tc>
          <w:tcPr>
            <w:vAlign w:val="center"/>
          </w:tcPr>
          <w:p>
            <w:pPr>
              <w:jc w:val="center"/>
            </w:pPr>
            <w:r>
              <w:rPr>
                <w:rFonts w:ascii="Times New Roman"/>
                <w:sz w:val="24"/>
                <w:b/>
              </w:rPr>
              <w:t>Преимущества</w:t>
            </w:r>
          </w:p>
        </w:tc>
        <w:tc>
          <w:tcPr>
            <w:vAlign w:val="center"/>
          </w:tcPr>
          <w:p>
            <w:pPr>
              <w:jc w:val="center"/>
            </w:pPr>
            <w:r>
              <w:rPr>
                <w:rFonts w:ascii="Times New Roman"/>
                <w:sz w:val="24"/>
                <w:b/>
              </w:rPr>
              <w:t>Ограничения</w:t>
            </w:r>
          </w:p>
        </w:tc>
      </w:tr>
      <w:tr>
        <w:tc>
          <w:tcPr>
            <w:vAlign w:val="center"/>
          </w:tcPr>
          <w:p>
            <w:pPr>
              <w:jc w:val="center"/>
            </w:pPr>
            <w:r>
              <w:rPr>
                <w:rFonts w:ascii="Times New Roman"/>
                <w:sz w:val="24"/>
              </w:rPr>
              <w:t>Автоматизированный скрининг</w:t>
            </w:r>
          </w:p>
        </w:tc>
        <w:tc>
          <w:tcPr>
            <w:vAlign w:val="center"/>
          </w:tcPr>
          <w:p>
            <w:pPr>
              <w:jc w:val="center"/>
            </w:pPr>
            <w:r>
              <w:rPr>
                <w:rFonts w:ascii="Times New Roman"/>
                <w:sz w:val="24"/>
              </w:rPr>
              <w:t>Непрерывный мониторинг, высокая чувствительность</w:t>
            </w:r>
          </w:p>
        </w:tc>
        <w:tc>
          <w:tcPr>
            <w:vAlign w:val="center"/>
          </w:tcPr>
          <w:p>
            <w:pPr>
              <w:jc w:val="center"/>
            </w:pPr>
            <w:r>
              <w:rPr>
                <w:rFonts w:ascii="Times New Roman"/>
                <w:sz w:val="24"/>
              </w:rPr>
              <w:t>Низкая специфичность, требует экспертной оценки</w:t>
            </w:r>
          </w:p>
        </w:tc>
      </w:tr>
      <w:tr>
        <w:tc>
          <w:tcPr>
            <w:vAlign w:val="center"/>
          </w:tcPr>
          <w:p>
            <w:pPr>
              <w:jc w:val="center"/>
            </w:pPr>
            <w:r>
              <w:rPr>
                <w:rFonts w:ascii="Times New Roman"/>
                <w:sz w:val="24"/>
              </w:rPr>
              <w:t>Фармацевтический аудит</w:t>
            </w:r>
          </w:p>
        </w:tc>
        <w:tc>
          <w:tcPr>
            <w:vAlign w:val="center"/>
          </w:tcPr>
          <w:p>
            <w:pPr>
              <w:jc w:val="center"/>
            </w:pPr>
            <w:r>
              <w:rPr>
                <w:rFonts w:ascii="Times New Roman"/>
                <w:sz w:val="24"/>
              </w:rPr>
              <w:t>Клиническая экспертиза, индивидуализация</w:t>
            </w:r>
          </w:p>
        </w:tc>
        <w:tc>
          <w:tcPr>
            <w:vAlign w:val="center"/>
          </w:tcPr>
          <w:p>
            <w:pPr>
              <w:jc w:val="center"/>
            </w:pPr>
            <w:r>
              <w:rPr>
                <w:rFonts w:ascii="Times New Roman"/>
                <w:sz w:val="24"/>
              </w:rPr>
              <w:t>Ресурсозатратность, ограниченный охват</w:t>
            </w:r>
          </w:p>
        </w:tc>
      </w:tr>
      <w:tr>
        <w:tc>
          <w:tcPr>
            <w:vAlign w:val="center"/>
          </w:tcPr>
          <w:p>
            <w:pPr>
              <w:jc w:val="center"/>
            </w:pPr>
            <w:r>
              <w:rPr>
                <w:rFonts w:ascii="Times New Roman"/>
                <w:sz w:val="24"/>
              </w:rPr>
              <w:t>Анализ исходов</w:t>
            </w:r>
          </w:p>
        </w:tc>
        <w:tc>
          <w:tcPr>
            <w:vAlign w:val="center"/>
          </w:tcPr>
          <w:p>
            <w:pPr>
              <w:jc w:val="center"/>
            </w:pPr>
            <w:r>
              <w:rPr>
                <w:rFonts w:ascii="Times New Roman"/>
                <w:sz w:val="24"/>
              </w:rPr>
              <w:t>Оценка реальной эффективности</w:t>
            </w:r>
          </w:p>
        </w:tc>
        <w:tc>
          <w:tcPr>
            <w:vAlign w:val="center"/>
          </w:tcPr>
          <w:p>
            <w:pPr>
              <w:jc w:val="center"/>
            </w:pPr>
            <w:r>
              <w:rPr>
                <w:rFonts w:ascii="Times New Roman"/>
                <w:sz w:val="24"/>
              </w:rPr>
              <w:t>Отсроченная обратная связь, множественные факторы</w:t>
            </w:r>
          </w:p>
        </w:tc>
      </w:tr>
      <w:tr>
        <w:tc>
          <w:tcPr>
            <w:vAlign w:val="center"/>
          </w:tcPr>
          <w:p>
            <w:pPr>
              <w:jc w:val="center"/>
            </w:pPr>
            <w:r>
              <w:rPr>
                <w:rFonts w:ascii="Times New Roman"/>
                <w:sz w:val="24"/>
              </w:rPr>
              <w:t>Peer-review</w:t>
            </w:r>
          </w:p>
        </w:tc>
        <w:tc>
          <w:tcPr>
            <w:vAlign w:val="center"/>
          </w:tcPr>
          <w:p>
            <w:pPr>
              <w:jc w:val="center"/>
            </w:pPr>
            <w:r>
              <w:rPr>
                <w:rFonts w:ascii="Times New Roman"/>
                <w:sz w:val="24"/>
              </w:rPr>
              <w:t>Образовательный эффект, коллегиальность</w:t>
            </w:r>
          </w:p>
        </w:tc>
        <w:tc>
          <w:tcPr>
            <w:vAlign w:val="center"/>
          </w:tcPr>
          <w:p>
            <w:pPr>
              <w:jc w:val="center"/>
            </w:pPr>
            <w:r>
              <w:rPr>
                <w:rFonts w:ascii="Times New Roman"/>
                <w:sz w:val="24"/>
              </w:rPr>
              <w:t>Субъективность, временные затраты</w:t>
            </w:r>
          </w:p>
        </w:tc>
      </w:tr>
    </w:tbl>
    <w:p>
      <w:r>
        <w:t/>
      </w:r>
    </w:p>
    <w:p>
      <w:pPr>
        <w:jc w:val="both"/>
        <w:ind w:firstLine="708"/>
        <w:spacing w:line="360" w:lineRule="auto"/>
      </w:pPr>
      <w:r>
        <w:rPr>
          <w:rFonts w:ascii="Times New Roman" w:hAnsi="Times New Roman"/>
          <w:sz w:val="28"/>
        </w:rPr>
        <w:t xml:space="preserve">Важным инструментом является система предупреждений и напоминаний в электронной медицинской карте. Исследования показывают, что электронные напоминания повышают частоту назначения профилактики, особенно когда они интегрированы в процесс назначения препаратов. Однако эффективность напоминаний зависит от их обязательности: необязательные напоминания часто игнорируются клиницистами, тогда как обязательные для заполнения формы оценки риска значительно повышают приверженность протоколам</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причин отклонений от протоколов позволяет разрабатывать целенаправленные корректирующие вмешательства. Основные причины недостаточной профилактики включают недооценку риска ВТЭО, переоценку риска кровотечения, отсутствие знаний о рекомендациях, организационные барьеры (отсутствие препаратов, сложность процедуры назначения), недостаточную преемственность при переводах пациентов. Образовательные программы для медицинского персонала, включающие информацию о факторах риска ВТЭО и стратегиях профилактики, являются необходимым компонентом улучшения качества</w:t>
      </w:r>
      <w:hyperlink w:anchor="_Source_9">
        <w:r>
          <w:rPr>
            <w:rFonts w:ascii="Times New Roman" w:hAnsi="Times New Roman"/>
            <w:sz w:val="28"/>
            <w:rStyle w:val="Hyperlink"/>
          </w:rPr>
          <w:t>[9]</w:t>
        </w:r>
      </w:hyperlink>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Многоуровневая система обратной связи включает индивидуальные консультации клинических фармацевтов, регулярные образовательные сессии для врачей и медсестёр, периодические отчёты о показателях качества профилактики ВТЭО, обсуждение сложных случаев на мультидисциплинарных консилиумах. Исследования показывают, что мультикомпонентные вмешательства, сочетающие электронные системы поддержки решений с активным участием клинических фармацевтов и образовательными программами, демонстрируют наибольшую эффективность в улучшении показателей профилактики ВТЭО</w:t>
      </w:r>
      <w:hyperlink w:anchor="_Source_9">
        <w:r>
          <w:rPr>
            <w:rFonts w:ascii="Times New Roman" w:hAnsi="Times New Roman"/>
            <w:sz w:val="28"/>
            <w:rStyle w:val="Hyperlink"/>
          </w:rPr>
          <w:t>[9]</w:t>
        </w:r>
      </w:hyperlink>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Сравнительный анализ между различными периодами (до и после внедрения улучшений) или между различными подразделениями позволяет оценить эффективность корректирующих мероприятий. Использование статистических методов, включая многофакторный регрессионный анализ и анализ E-value для оценки влияния неизмеренных факторов, обеспечивает надёжность выводов об эффективности вмешательств</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Устойчивость улучшений требует внедрения циклов постоянного совершенствования качества (Plan-Do-Study-Act), где результаты аудита систематически анализируются, разрабатываются и внедряются корректирующие мероприятия, оценивается их эффективность, и процесс повторяется. Такой подход обеспечивает непрерывное развитие системы профилактики ВТЭО и адаптацию к изменяющимся условиям клинической практики</w:t>
      </w:r>
      <w:hyperlink w:anchor="_Source_9">
        <w:r>
          <w:rPr>
            <w:rFonts w:ascii="Times New Roman" w:hAnsi="Times New Roman"/>
            <w:sz w:val="28"/>
            <w:rStyle w:val="Hyperlink"/>
          </w:rPr>
          <w:t>[9]</w:t>
        </w:r>
      </w:hyperlink>
      <w:hyperlink w:anchor="_Source_12">
        <w:r>
          <w:rPr>
            <w:rFonts w:ascii="Times New Roman" w:hAnsi="Times New Roman"/>
            <w:sz w:val="28"/>
            <w:rStyle w:val="Hyperlink"/>
          </w:rPr>
          <w:t>[12]</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ПРАКТИЧЕСКОЕ ИССЛЕДОВАНИЕ: АУДИТ СОБЛЮДЕНИЯ ПРОТОКОЛОВ АНТИКОАГУЛЯНТНОЙ ТЕРАПИИ</w:t>
      </w:r>
    </w:p>
    <w:p>
      <w:pPr>
        <w:jc w:val="both"/>
        <w:ind w:firstLine="708"/>
        <w:spacing w:line="360" w:lineRule="auto"/>
      </w:pPr>
      <w:r>
        <w:rPr>
          <w:rFonts w:ascii="Times New Roman" w:hAnsi="Times New Roman"/>
          <w:sz w:val="28"/>
        </w:rPr>
        <w:t xml:space="preserve">Проведение клинического аудита соблюдения протоколов антикоагулянтной терапии после ортопедических операций является критически важным инструментом обеспечения качества медицинской помощи и безопасности пациентов. Систематический анализ практики назначения антикоагулянтов позволяет выявить отклонения от рекомендованных стандартов, оценить частоту нежелательных явлений и разработать целенаправленные меры по оптимизации терапевтических подходов. Современные данные свидетельствуют о значительной вариабельности в применении тромбопрофилактики даже в условиях наличия четких клинических рекомендаций, что обусловливает необходимость регулярного мониторинга качества оказания медицинской помощи</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Актуальность проведения аудита усиливается накапливающимися доказательствами эффективности различных режимов антикоагулянтной терапии и появлением альтернативных подходов к профилактике венозных тромбоэмболических осложнений. В частности, сравнительные исследования демонстрируют сопоставимую эффективность прямых пероральных антикоагулянтов и низкомолекулярных гепаринов при различных профилях безопасности и приверженности терапии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 Это требует тщательного анализа соответствия реальной клинической практики современным рекомендациям и оценки клинических исходов в зависимости от выбранной стратегии профилактики.</w:t>
      </w:r>
    </w:p>
    <w:p>
      <w:pPr>
        <w:pStyle w:val="Heading2"/>
        <w:spacing w:before="240" w:after="120"/>
      </w:pPr>
      <w:r>
        <w:rPr>
          <w:rFonts w:ascii="Times New Roman" w:hAnsi="Times New Roman"/>
          <w:b/>
          <w:sz w:val="28"/>
        </w:rPr>
        <w:t xml:space="preserve">Характеристика базы исследования и методика сбора данных</w:t>
      </w:r>
    </w:p>
    <w:p>
      <w:pPr>
        <w:jc w:val="both"/>
        <w:ind w:firstLine="708"/>
        <w:spacing w:line="360" w:lineRule="auto"/>
      </w:pPr>
      <w:r>
        <w:rPr>
          <w:rFonts w:ascii="Times New Roman" w:hAnsi="Times New Roman"/>
          <w:sz w:val="28"/>
        </w:rPr>
        <w:t xml:space="preserve">Организация клинического аудита требует четкого определения базы исследования, критериев включения пациентов и методологии сбора данных. Оптимальным подходом является проведение ретроспективного когортного исследования на базе крупного ортопедического отделения или специализированного центра эндопротезирования, что обеспечивает достаточный объем выборки для статистически значимых выводов. Период наблюдения должен охватывать не менее 12-24 месяцев для учета сезонных вариаций и изменений в клинической практике</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Критерии включения пациентов в аудит формируются на основании типа хирургического вмешательства. Приоритетными категориями являются пациенты после тотального эндопротезирования тазобедренного сустава и тотального эндопротезирования коленного сустава, поскольку эти операции характеризуются наиболее высоким риском венозных тромбоэмболических осложнений. Также целесообразно включение пациентов после оперативного лечения переломов, особенно переломов проксимального отдела бедренной кости и множественных травм</w:t>
      </w:r>
      <w:hyperlink w:anchor="_Source_14">
        <w:r>
          <w:rPr>
            <w:rFonts w:ascii="Times New Roman" w:hAnsi="Times New Roman"/>
            <w:sz w:val="28"/>
            <w:rStyle w:val="Hyperlink"/>
          </w:rPr>
          <w:t>[14]</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Критерии исключения должны быть четко определены для обеспечения однородности анализируемой когорты. Исключаются пациенты, получавшие терапевтические дозы антикоагулянтов по поводу фибрилляции предсердий или других показаний до операции, пациенты с противопоказаниями к антикоагулянтной терапии, а также случаи с неполной документацией назначений или результатов обследования. Отдельного внимания требует исключение пациентов с онкологическими заболеваниями, поскольку они представляют особую группу риска и требуют модифицированных протоколов профилактики</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Источниками данных для аудита служат медицинские карты стационарного больного, электронные истории болезни, протоколы операций, листы назначений, результаты лабораторных и инструментальных исследований. Особое значение имеет систематизированный сбор информации о послеоперационных осложнениях, включая данные о повторных госпитализациях и обращениях в отделение неотложной помощи в течение 90 дней после выписки. Это позволяет оценить не только непосредственные госпитальные исходы, но и отдаленные результаты профилактической стратегии</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Структура собираемых данных включает несколько основных блоков. Демографический блок содержит возраст, пол, индекс массы тела пациента. Клинический блок включает информацию о типе хирургического вмешательства, длительности операции, объеме кровопотери, наличии сопутствующих заболеваний и предшествующих тромбоэмболических событий. Фармакотерапевтический блок фиксирует препарат антикоагулянта, дозировку, время начала введения относительно операции, длительность профилактического курса и причины отклонений от стандартного протокола</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Блок исходов регистрирует развитие венозных тромбоэмболических осложнений с указанием локализации тромбоза, метода диагностики и времени выявления. Тромбоз глубоких вен документируется на основании ультразвукового дуплексного сканирования, тромбоэмболия легочной артерии подтверждается компьютерной томографической ангиографией или вентиляционно-перфузионной сцинтиграфией. Геморрагические осложнения классифицируются по степени тяжести с выделением больших кровотечений, требующих гемотрансфузии или хирургического вмешательства, и малых кровотечений, не требующих специфических вмешательств</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Методика оценки соответствия протоколам основывается на сопоставлении фактических назначений с действующими клиническими рекомендациями. В качестве референсных стандартов используются рекомендации профессиональных ассоциаций, такие как руководства Канадской урологической ассоциации, Европейской ассоциации урологов, Американского общества гематологов и Национального института здоровья и совершенствования медицинской помощи Великобритании. Эти документы предоставляют градацию рекомендаций по уровню доказательности и силе, что позволяет дифференцировать критические отклонения от протокола и приемлемые вариации практики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стандартизации сбора данных разрабатывается специализированная форма регистрации случаев, которая может быть реализована как в бумажном, так и в электронном формате. Электронная форма с автоматическими проверками на полноту и корректность данных предпочтительна, поскольку минимизирует ошибки ввода и облегчает последующий статистический анализ. Важным элементом методики является обучение персонала, осуществляющего сбор данных, для обеспечения единообразия интерпретации критериев и классификации событий</w:t>
      </w:r>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Особого внимания требует оценка приверженности пациентов назначенной терапии после выписки из стационара. Для этого используются телефонные опросы пациентов, анализ выкупленных рецептов по данным аптечных систем или электронные дневники приема препаратов. Низкая приверженность терапии низкомолекулярными гепаринами, связанная с необходимостью ежедневных подкожных инъекций, является хорошо документированной проблемой, частота несоблюдения режима достигает 20-40% случаев. Это обстоятельство имеет критическое значение для интерпретации результатов аудита, поскольку формальное соответствие протоколу при выписке не гарантирует эффективной профилактики при низкой комплаентности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Временные параметры сбора данных структурируются в соответствии с критическими периодами риска тромбоэмболических осложнений. Интраоперационный период документирует применение механических методов профилактики и первичного введения антикоагулянтов. Ранний послеоперационный период (первые 7 дней) характеризуется наибольшим риском как тромботических, так и геморрагических осложнений, что требует ежедневной фиксации назначений и клинических событий. Период продленной профилактики (до 28-35 дней после операции) охватывает амбулаторный этап, когда сохраняется значимый риск венозных тромбоэмболий, особенно при эндопротезировании тазобедренного сустава</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center"/>
        <w:spacing w:after="120"/>
      </w:pPr>
      <w:r>
        <w:rPr>
          <w:rFonts w:ascii="Times New Roman" w:hAnsi="Times New Roman"/>
          <w:sz w:val="24"/>
          <w:b/>
        </w:rPr>
        <w:t>Таблица 8. Структура данных для клинического аудита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Блок данных</w:t>
            </w:r>
          </w:p>
        </w:tc>
        <w:tc>
          <w:tcPr>
            <w:vAlign w:val="center"/>
          </w:tcPr>
          <w:p>
            <w:pPr>
              <w:jc w:val="center"/>
            </w:pPr>
            <w:r>
              <w:rPr>
                <w:rFonts w:ascii="Times New Roman"/>
                <w:sz w:val="24"/>
                <w:b/>
              </w:rPr>
              <w:t>Параметры</w:t>
            </w:r>
          </w:p>
        </w:tc>
        <w:tc>
          <w:tcPr>
            <w:vAlign w:val="center"/>
          </w:tcPr>
          <w:p>
            <w:pPr>
              <w:jc w:val="center"/>
            </w:pPr>
            <w:r>
              <w:rPr>
                <w:rFonts w:ascii="Times New Roman"/>
                <w:sz w:val="24"/>
                <w:b/>
              </w:rPr>
              <w:t>Источник информации</w:t>
            </w:r>
          </w:p>
        </w:tc>
      </w:tr>
      <w:tr>
        <w:tc>
          <w:tcPr>
            <w:vAlign w:val="center"/>
          </w:tcPr>
          <w:p>
            <w:pPr>
              <w:jc w:val="center"/>
            </w:pPr>
            <w:r>
              <w:rPr>
                <w:rFonts w:ascii="Times New Roman"/>
                <w:sz w:val="24"/>
              </w:rPr>
              <w:t>Демографические данные</w:t>
            </w:r>
          </w:p>
        </w:tc>
        <w:tc>
          <w:tcPr>
            <w:vAlign w:val="center"/>
          </w:tcPr>
          <w:p>
            <w:pPr>
              <w:jc w:val="center"/>
            </w:pPr>
            <w:r>
              <w:rPr>
                <w:rFonts w:ascii="Times New Roman"/>
                <w:sz w:val="24"/>
              </w:rPr>
              <w:t>Возраст, пол, ИМТ, коморбидность</w:t>
            </w:r>
          </w:p>
        </w:tc>
        <w:tc>
          <w:tcPr>
            <w:vAlign w:val="center"/>
          </w:tcPr>
          <w:p>
            <w:pPr>
              <w:jc w:val="center"/>
            </w:pPr>
            <w:r>
              <w:rPr>
                <w:rFonts w:ascii="Times New Roman"/>
                <w:sz w:val="24"/>
              </w:rPr>
              <w:t>История болезни, анамнез</w:t>
            </w:r>
          </w:p>
        </w:tc>
      </w:tr>
      <w:tr>
        <w:tc>
          <w:tcPr>
            <w:vAlign w:val="center"/>
          </w:tcPr>
          <w:p>
            <w:pPr>
              <w:jc w:val="center"/>
            </w:pPr>
            <w:r>
              <w:rPr>
                <w:rFonts w:ascii="Times New Roman"/>
                <w:sz w:val="24"/>
              </w:rPr>
              <w:t>Хирургические данные</w:t>
            </w:r>
          </w:p>
        </w:tc>
        <w:tc>
          <w:tcPr>
            <w:vAlign w:val="center"/>
          </w:tcPr>
          <w:p>
            <w:pPr>
              <w:jc w:val="center"/>
            </w:pPr>
            <w:r>
              <w:rPr>
                <w:rFonts w:ascii="Times New Roman"/>
                <w:sz w:val="24"/>
              </w:rPr>
              <w:t>Тип операции, длительность, кровопотеря, доступ</w:t>
            </w:r>
          </w:p>
        </w:tc>
        <w:tc>
          <w:tcPr>
            <w:vAlign w:val="center"/>
          </w:tcPr>
          <w:p>
            <w:pPr>
              <w:jc w:val="center"/>
            </w:pPr>
            <w:r>
              <w:rPr>
                <w:rFonts w:ascii="Times New Roman"/>
                <w:sz w:val="24"/>
              </w:rPr>
              <w:t>Протокол операции</w:t>
            </w:r>
          </w:p>
        </w:tc>
      </w:tr>
      <w:tr>
        <w:tc>
          <w:tcPr>
            <w:vAlign w:val="center"/>
          </w:tcPr>
          <w:p>
            <w:pPr>
              <w:jc w:val="center"/>
            </w:pPr>
            <w:r>
              <w:rPr>
                <w:rFonts w:ascii="Times New Roman"/>
                <w:sz w:val="24"/>
              </w:rPr>
              <w:t>Фармакотерапия</w:t>
            </w:r>
          </w:p>
        </w:tc>
        <w:tc>
          <w:tcPr>
            <w:vAlign w:val="center"/>
          </w:tcPr>
          <w:p>
            <w:pPr>
              <w:jc w:val="center"/>
            </w:pPr>
            <w:r>
              <w:rPr>
                <w:rFonts w:ascii="Times New Roman"/>
                <w:sz w:val="24"/>
              </w:rPr>
              <w:t>Препарат, доза, время начала, длительность</w:t>
            </w:r>
          </w:p>
        </w:tc>
        <w:tc>
          <w:tcPr>
            <w:vAlign w:val="center"/>
          </w:tcPr>
          <w:p>
            <w:pPr>
              <w:jc w:val="center"/>
            </w:pPr>
            <w:r>
              <w:rPr>
                <w:rFonts w:ascii="Times New Roman"/>
                <w:sz w:val="24"/>
              </w:rPr>
              <w:t>Лист назначений, выписной эпикриз</w:t>
            </w:r>
          </w:p>
        </w:tc>
      </w:tr>
      <w:tr>
        <w:tc>
          <w:tcPr>
            <w:vAlign w:val="center"/>
          </w:tcPr>
          <w:p>
            <w:pPr>
              <w:jc w:val="center"/>
            </w:pPr>
            <w:r>
              <w:rPr>
                <w:rFonts w:ascii="Times New Roman"/>
                <w:sz w:val="24"/>
              </w:rPr>
              <w:t>Тромбоэмболические осложнения</w:t>
            </w:r>
          </w:p>
        </w:tc>
        <w:tc>
          <w:tcPr>
            <w:vAlign w:val="center"/>
          </w:tcPr>
          <w:p>
            <w:pPr>
              <w:jc w:val="center"/>
            </w:pPr>
            <w:r>
              <w:rPr>
                <w:rFonts w:ascii="Times New Roman"/>
                <w:sz w:val="24"/>
              </w:rPr>
              <w:t>ТГВ, ТЭЛА, время выявления, метод диагностики</w:t>
            </w:r>
          </w:p>
        </w:tc>
        <w:tc>
          <w:tcPr>
            <w:vAlign w:val="center"/>
          </w:tcPr>
          <w:p>
            <w:pPr>
              <w:jc w:val="center"/>
            </w:pPr>
            <w:r>
              <w:rPr>
                <w:rFonts w:ascii="Times New Roman"/>
                <w:sz w:val="24"/>
              </w:rPr>
              <w:t>УЗИ, КТ-ангиография, данные ОНП</w:t>
            </w:r>
          </w:p>
        </w:tc>
      </w:tr>
      <w:tr>
        <w:tc>
          <w:tcPr>
            <w:vAlign w:val="center"/>
          </w:tcPr>
          <w:p>
            <w:pPr>
              <w:jc w:val="center"/>
            </w:pPr>
            <w:r>
              <w:rPr>
                <w:rFonts w:ascii="Times New Roman"/>
                <w:sz w:val="24"/>
              </w:rPr>
              <w:t>Геморрагические осложнения</w:t>
            </w:r>
          </w:p>
        </w:tc>
        <w:tc>
          <w:tcPr>
            <w:vAlign w:val="center"/>
          </w:tcPr>
          <w:p>
            <w:pPr>
              <w:jc w:val="center"/>
            </w:pPr>
            <w:r>
              <w:rPr>
                <w:rFonts w:ascii="Times New Roman"/>
                <w:sz w:val="24"/>
              </w:rPr>
              <w:t>Большие/малые кровотечения, гемотрансфузии</w:t>
            </w:r>
          </w:p>
        </w:tc>
        <w:tc>
          <w:tcPr>
            <w:vAlign w:val="center"/>
          </w:tcPr>
          <w:p>
            <w:pPr>
              <w:jc w:val="center"/>
            </w:pPr>
            <w:r>
              <w:rPr>
                <w:rFonts w:ascii="Times New Roman"/>
                <w:sz w:val="24"/>
              </w:rPr>
              <w:t>Лабораторные данные, протоколы вмешательств</w:t>
            </w:r>
          </w:p>
        </w:tc>
      </w:tr>
      <w:tr>
        <w:tc>
          <w:tcPr>
            <w:vAlign w:val="center"/>
          </w:tcPr>
          <w:p>
            <w:pPr>
              <w:jc w:val="center"/>
            </w:pPr>
            <w:r>
              <w:rPr>
                <w:rFonts w:ascii="Times New Roman"/>
                <w:sz w:val="24"/>
              </w:rPr>
              <w:t>Приверженность терапии</w:t>
            </w:r>
          </w:p>
        </w:tc>
        <w:tc>
          <w:tcPr>
            <w:vAlign w:val="center"/>
          </w:tcPr>
          <w:p>
            <w:pPr>
              <w:jc w:val="center"/>
            </w:pPr>
            <w:r>
              <w:rPr>
                <w:rFonts w:ascii="Times New Roman"/>
                <w:sz w:val="24"/>
              </w:rPr>
              <w:t>Соблюдение режима после выписки, причины отмены</w:t>
            </w:r>
          </w:p>
        </w:tc>
        <w:tc>
          <w:tcPr>
            <w:vAlign w:val="center"/>
          </w:tcPr>
          <w:p>
            <w:pPr>
              <w:jc w:val="center"/>
            </w:pPr>
            <w:r>
              <w:rPr>
                <w:rFonts w:ascii="Times New Roman"/>
                <w:sz w:val="24"/>
              </w:rPr>
              <w:t>Телефонные опросы, аптечные данные</w:t>
            </w:r>
          </w:p>
        </w:tc>
      </w:tr>
    </w:tbl>
    <w:p>
      <w:r>
        <w:t/>
      </w:r>
    </w:p>
    <w:p>
      <w:pPr>
        <w:jc w:val="both"/>
        <w:ind w:firstLine="708"/>
        <w:spacing w:line="360" w:lineRule="auto"/>
      </w:pPr>
      <w:r>
        <w:rPr>
          <w:rFonts w:ascii="Times New Roman" w:hAnsi="Times New Roman"/>
          <w:sz w:val="28"/>
        </w:rPr>
        <w:t xml:space="preserve">Валидация собранных данных осуществляется путем перекрестной проверки информации из различных источников и выборочного аудита медицинской документации независимым экспертом. Случаи с противоречивой информацией или неполными данными выносятся на обсуждение экспертной группы для принятия решения о возможности включения в анализ. Такой подход обеспечивает высокое качество итоговой базы данных и надежность выводов исследования</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Анализ соблюдения протоколов назначения антикоагулянтов</w:t>
      </w:r>
    </w:p>
    <w:p>
      <w:pPr>
        <w:jc w:val="both"/>
        <w:ind w:firstLine="708"/>
        <w:spacing w:line="360" w:lineRule="auto"/>
      </w:pPr>
      <w:r>
        <w:rPr>
          <w:rFonts w:ascii="Times New Roman" w:hAnsi="Times New Roman"/>
          <w:sz w:val="28"/>
        </w:rPr>
        <w:t xml:space="preserve">Анализ соблюдения протоколов начинается с оценки общей частоты назначения тромбопрофилактики в целевой популяции пациентов. Идеальный показатель составляет 100% для всех пациентов без абсолютных противопоказаний, однако в реальной практике могут наблюдаться случаи отсутствия назначений. Систематический анализ таких случаев позволяет выявить организационные и клинические факторы, препятствующие полному охвату профилактическими мероприятиями. К организационным факторам относятся недостаточная осведомленность персонала о протоколах, отсутствие стандартизированных листов назначений или электронных напоминаний, а также проблемы логистики обеспечения препаратами</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Выбор конкретного антикоагулянта для профилактики анализируется в контексте доступных опций и рекомендованных режимов. Низкомолекулярные гепарины, такие как эноксапарин, традиционно рассматриваются как стандарт профилактики с высоким уровнем доказательности эффективности. Прямые пероральные антикоагулянты, включая апиксабан, ривароксабан и дабигатран, представляют альтернативу с преимуществами перорального приема и отсутствия необходимости лабораторного мониторинга. Недавние исследования продемонстрировали сопоставимую или даже превосходящую эффективность апиксабана по сравнению с эноксапарином при схожем профиле безопасности, что расширяет терапевтические возможности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Оценка соответствия выбора препарата протоколам включает анализ обоснованности назначения. Для пациентов после тотального эндопротезирования тазобедренного и коленного суставов рекомендуется 28-дневный курс профилактики низкомолекулярным гепарином или прямым пероральным антикоагулянтом. Канадская урологическая ассоциация и Европейская ассоциация урологов настоятельно рекомендуют продленную профилактику для всех пациентов, перенесших открытую или роботизированную радикальную цистэктомию, что согласуется с данными о среднем времени развития тромбоэмболических осложнений 15,2 дня после операции</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дозировок антикоагулянтов выявляет случаи недостаточного или избыточного дозирования. Для эноксапарина стандартная профилактическая доза составляет 40 мг подкожно один раз в сутки, начиная с первого послеоперационного дня. Коррекция дозы требуется при нарушении функции почек, когда клиренс креатинина снижается ниже 30 мл/мин. Апиксабан назначается в дозе 2,5 мг дважды в сутки, при этом снижение дозы до 15 мг эдоксабана показано пациентам с клиренсом креатинина ≤50 мл/мин, массой тела ≤60 кг или при сопутствующем применении ингибиторов P-гликопротеина</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Случаи необоснованного снижения дозы антикоагулянта представляют особую проблему, поскольку могут приводить к недостаточной профилактике тромбоэмболических осложнений без соответствующего снижения риска кровотечений. В одном из исследований было выявлено, что до 91,6% пациентов получали сниженную дозу эдоксабана без формальных показаний, что подчеркивает необходимость образовательных программ для врачей относительно принципов дозирования антикоагулянтов</w:t>
      </w:r>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Время начала антикоагулянтной терапии относительно хирургического вмешательства является критическим параметром, влияющим на баланс между эффективностью профилактики и риском периоперационных кровотечений. Рекомендуемая практика предусматривает введение первой дозы низкомолекулярного гепарина через 12-24 часа после операции или в утро первого послеоперационного дня. Слишком раннее начало терапии ассоциируется с повышенным риском геморрагических осложнений, тогда как отсроченное начало может снижать эффективность профилактики тромбозов</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прямых пероральных антикоагулянтов протоколы различаются в зависимости от конкретного препарата и институциональной практики. Исследование EPCAT II продемонстрировало эффективность стратегии с назначением ривароксабана в течение первых 5 дней с последующим переходом на аспирин, что обеспечило результаты, не уступающие продленному курсу ривароксабана. В то же время исследование CRISTAL показало более высокую частоту симптоматических венозных тромбоэмболий при использовании аспирина в качестве единственного профилактического средства с первого послеоперационного дня по сравнению с эноксапарином (3,5% против 1,8%)</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Продолжительность профилактического курса анализируется в соответствии с типом операции и индивидуальными факторами риска пациента. Для тотального эндопротезирования тазобедренного сустава рекомендуется продленная профилактика в течение 28-35 дней, поскольку риск тромбоэмболических осложнений остается повышенным на протяжении нескольких недель после выписки. При эндопротезировании коленного сустава может быть достаточно 10-14-дневного курса, хотя некоторые рекомендации предлагают продленную профилактику и для этой категории пациентов</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причин преждевременного прекращения антикоагулянтной терапии выявляет как медицинские, так и немедицинские факторы. К медицинским причинам относятся развитие кровотечений, требующих отмены препарата, необходимость повторного хирургического вмешательства и выявление противопоказаний в послеоперационном периоде. Немедицинские факторы включают низкую приверженность пациентов, связанную с неудобством подкожных инъекций, стоимостью препаратов, недостаточной информированностью о важности продолжения терапии и побочными эффектами, такими как боль в месте инъекции или образование гематом</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Оценка применения механических методов профилактики дополняет анализ фармакологической тромбопрофилактики. Интраоперационное использование компрессионных чулок и устройств для прерывистой пневматической компрессии является стандартной практикой, усиливающей эффект антикоагулянтов. Ранняя послеоперационная мобилизация пациентов также входит в протоколы ускоренной реабилитации и способствует снижению риска венозных тромбозов. Документирование применения этих мероприятий важно для комплексной оценки качества профилактики</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Сравнительный анализ клинических исходов в зависимости от соблюдения протоколов позволяет количественно оценить влияние отклонений на безопасность и эффективность. Частота венозных тромбоэмболических осложнений в группе пациентов, получавших терапию в соответствии с протоколом, сопоставляется с частотой в группе отклонений. Аналогично анализируются геморрагические осложнения, повторные госпитализации и смертность. Современные данные показывают, что при строгом соблюдении протоколов 30-дневная частота венозных тромбоэмболий после радикальной цистэктомии может составлять 0-2%, а 90-дневная – 0-3,9%, что существенно ниже исторических показателей без профилактики</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Использование методов сопоставления по шкале предрасположенности (propensity score matching) позволяет минимизировать систематические ошибки при сравнении групп с различными режимами терапии. Эта методология учитывает множественные факторы риска, включая возраст, пол, массу тела, функцию почек, наличие предшествующих тромбоэмболических событий, длительность постельного режима и необходимость гемотрансфузий. Применение такого подхода обеспечивает более надежную оценку причинно-следственных связей между соблюдением протоколов и клиническими исходами</w:t>
      </w:r>
      <w:hyperlink w:anchor="_Source_15">
        <w:r>
          <w:rPr>
            <w:rFonts w:ascii="Times New Roman" w:hAnsi="Times New Roman"/>
            <w:sz w:val="28"/>
            <w:rStyle w:val="Hyperlink"/>
          </w:rPr>
          <w:t>[15]</w:t>
        </w:r>
      </w:hyperlink>
      <w:r>
        <w:rPr>
          <w:rFonts w:ascii="Times New Roman" w:hAnsi="Times New Roman"/>
          <w:sz w:val="28"/>
        </w:rPr>
        <w:t xml:space="preserve">.</w:t>
      </w:r>
    </w:p>
    <w:p>
      <w:pPr>
        <w:jc w:val="center"/>
        <w:spacing w:after="120"/>
      </w:pPr>
      <w:r>
        <w:rPr>
          <w:rFonts w:ascii="Times New Roman" w:hAnsi="Times New Roman"/>
          <w:sz w:val="24"/>
          <w:b/>
        </w:rPr>
        <w:t>Таблица 9. Ключевые параметры оценки соблюдения протоколов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Параметр протокола</w:t>
            </w:r>
          </w:p>
        </w:tc>
        <w:tc>
          <w:tcPr>
            <w:vAlign w:val="center"/>
          </w:tcPr>
          <w:p>
            <w:pPr>
              <w:jc w:val="center"/>
            </w:pPr>
            <w:r>
              <w:rPr>
                <w:rFonts w:ascii="Times New Roman"/>
                <w:sz w:val="24"/>
                <w:b/>
              </w:rPr>
              <w:t>Рекомендуемый стандарт</w:t>
            </w:r>
          </w:p>
        </w:tc>
        <w:tc>
          <w:tcPr>
            <w:vAlign w:val="center"/>
          </w:tcPr>
          <w:p>
            <w:pPr>
              <w:jc w:val="center"/>
            </w:pPr>
            <w:r>
              <w:rPr>
                <w:rFonts w:ascii="Times New Roman"/>
                <w:sz w:val="24"/>
                <w:b/>
              </w:rPr>
              <w:t>Анализируемые отклонения</w:t>
            </w:r>
          </w:p>
        </w:tc>
      </w:tr>
      <w:tr>
        <w:tc>
          <w:tcPr>
            <w:vAlign w:val="center"/>
          </w:tcPr>
          <w:p>
            <w:pPr>
              <w:jc w:val="center"/>
            </w:pPr>
            <w:r>
              <w:rPr>
                <w:rFonts w:ascii="Times New Roman"/>
                <w:sz w:val="24"/>
              </w:rPr>
              <w:t>Частота назначения</w:t>
            </w:r>
          </w:p>
        </w:tc>
        <w:tc>
          <w:tcPr>
            <w:vAlign w:val="center"/>
          </w:tcPr>
          <w:p>
            <w:pPr>
              <w:jc w:val="center"/>
            </w:pPr>
            <w:r>
              <w:rPr>
                <w:rFonts w:ascii="Times New Roman"/>
                <w:sz w:val="24"/>
              </w:rPr>
              <w:t>100% пациентов без противопоказаний</w:t>
            </w:r>
          </w:p>
        </w:tc>
        <w:tc>
          <w:tcPr>
            <w:vAlign w:val="center"/>
          </w:tcPr>
          <w:p>
            <w:pPr>
              <w:jc w:val="center"/>
            </w:pPr>
            <w:r>
              <w:rPr>
                <w:rFonts w:ascii="Times New Roman"/>
                <w:sz w:val="24"/>
              </w:rPr>
              <w:t>Отсутствие назначений, необоснованные противопоказания</w:t>
            </w:r>
          </w:p>
        </w:tc>
      </w:tr>
      <w:tr>
        <w:tc>
          <w:tcPr>
            <w:vAlign w:val="center"/>
          </w:tcPr>
          <w:p>
            <w:pPr>
              <w:jc w:val="center"/>
            </w:pPr>
            <w:r>
              <w:rPr>
                <w:rFonts w:ascii="Times New Roman"/>
                <w:sz w:val="24"/>
              </w:rPr>
              <w:t>Выбор препарата</w:t>
            </w:r>
          </w:p>
        </w:tc>
        <w:tc>
          <w:tcPr>
            <w:vAlign w:val="center"/>
          </w:tcPr>
          <w:p>
            <w:pPr>
              <w:jc w:val="center"/>
            </w:pPr>
            <w:r>
              <w:rPr>
                <w:rFonts w:ascii="Times New Roman"/>
                <w:sz w:val="24"/>
              </w:rPr>
              <w:t>НМГГ или ПОАК согласно рекомендациям</w:t>
            </w:r>
          </w:p>
        </w:tc>
        <w:tc>
          <w:tcPr>
            <w:vAlign w:val="center"/>
          </w:tcPr>
          <w:p>
            <w:pPr>
              <w:jc w:val="center"/>
            </w:pPr>
            <w:r>
              <w:rPr>
                <w:rFonts w:ascii="Times New Roman"/>
                <w:sz w:val="24"/>
              </w:rPr>
              <w:t>Использование нерекомендованных препаратов</w:t>
            </w:r>
          </w:p>
        </w:tc>
      </w:tr>
      <w:tr>
        <w:tc>
          <w:tcPr>
            <w:vAlign w:val="center"/>
          </w:tcPr>
          <w:p>
            <w:pPr>
              <w:jc w:val="center"/>
            </w:pPr>
            <w:r>
              <w:rPr>
                <w:rFonts w:ascii="Times New Roman"/>
                <w:sz w:val="24"/>
              </w:rPr>
              <w:t>Дозировка</w:t>
            </w:r>
          </w:p>
        </w:tc>
        <w:tc>
          <w:tcPr>
            <w:vAlign w:val="center"/>
          </w:tcPr>
          <w:p>
            <w:pPr>
              <w:jc w:val="center"/>
            </w:pPr>
            <w:r>
              <w:rPr>
                <w:rFonts w:ascii="Times New Roman"/>
                <w:sz w:val="24"/>
              </w:rPr>
              <w:t>Стандартная или скорректированная по ФП</w:t>
            </w:r>
          </w:p>
        </w:tc>
        <w:tc>
          <w:tcPr>
            <w:vAlign w:val="center"/>
          </w:tcPr>
          <w:p>
            <w:pPr>
              <w:jc w:val="center"/>
            </w:pPr>
            <w:r>
              <w:rPr>
                <w:rFonts w:ascii="Times New Roman"/>
                <w:sz w:val="24"/>
              </w:rPr>
              <w:t>Необоснованное снижение/повышение дозы</w:t>
            </w:r>
          </w:p>
        </w:tc>
      </w:tr>
      <w:tr>
        <w:tc>
          <w:tcPr>
            <w:vAlign w:val="center"/>
          </w:tcPr>
          <w:p>
            <w:pPr>
              <w:jc w:val="center"/>
            </w:pPr>
            <w:r>
              <w:rPr>
                <w:rFonts w:ascii="Times New Roman"/>
                <w:sz w:val="24"/>
              </w:rPr>
              <w:t>Время начала</w:t>
            </w:r>
          </w:p>
        </w:tc>
        <w:tc>
          <w:tcPr>
            <w:vAlign w:val="center"/>
          </w:tcPr>
          <w:p>
            <w:pPr>
              <w:jc w:val="center"/>
            </w:pPr>
            <w:r>
              <w:rPr>
                <w:rFonts w:ascii="Times New Roman"/>
                <w:sz w:val="24"/>
              </w:rPr>
              <w:t>12-24 ч после операции или утро 1-го дня</w:t>
            </w:r>
          </w:p>
        </w:tc>
        <w:tc>
          <w:tcPr>
            <w:vAlign w:val="center"/>
          </w:tcPr>
          <w:p>
            <w:pPr>
              <w:jc w:val="center"/>
            </w:pPr>
            <w:r>
              <w:rPr>
                <w:rFonts w:ascii="Times New Roman"/>
                <w:sz w:val="24"/>
              </w:rPr>
              <w:t>Слишком раннее или отсроченное начало</w:t>
            </w:r>
          </w:p>
        </w:tc>
      </w:tr>
      <w:tr>
        <w:tc>
          <w:tcPr>
            <w:vAlign w:val="center"/>
          </w:tcPr>
          <w:p>
            <w:pPr>
              <w:jc w:val="center"/>
            </w:pPr>
            <w:r>
              <w:rPr>
                <w:rFonts w:ascii="Times New Roman"/>
                <w:sz w:val="24"/>
              </w:rPr>
              <w:t>Длительность курса</w:t>
            </w:r>
          </w:p>
        </w:tc>
        <w:tc>
          <w:tcPr>
            <w:vAlign w:val="center"/>
          </w:tcPr>
          <w:p>
            <w:pPr>
              <w:jc w:val="center"/>
            </w:pPr>
            <w:r>
              <w:rPr>
                <w:rFonts w:ascii="Times New Roman"/>
                <w:sz w:val="24"/>
              </w:rPr>
              <w:t>28-35 дней для ТЭП ТБС, 10-14 дней для ТЭП КС</w:t>
            </w:r>
          </w:p>
        </w:tc>
        <w:tc>
          <w:tcPr>
            <w:vAlign w:val="center"/>
          </w:tcPr>
          <w:p>
            <w:pPr>
              <w:jc w:val="center"/>
            </w:pPr>
            <w:r>
              <w:rPr>
                <w:rFonts w:ascii="Times New Roman"/>
                <w:sz w:val="24"/>
              </w:rPr>
              <w:t>Преждевременное прекращение, избыточная продолжительность</w:t>
            </w:r>
          </w:p>
        </w:tc>
      </w:tr>
      <w:tr>
        <w:tc>
          <w:tcPr>
            <w:vAlign w:val="center"/>
          </w:tcPr>
          <w:p>
            <w:pPr>
              <w:jc w:val="center"/>
            </w:pPr>
            <w:r>
              <w:rPr>
                <w:rFonts w:ascii="Times New Roman"/>
                <w:sz w:val="24"/>
              </w:rPr>
              <w:t>Механические методы</w:t>
            </w:r>
          </w:p>
        </w:tc>
        <w:tc>
          <w:tcPr>
            <w:vAlign w:val="center"/>
          </w:tcPr>
          <w:p>
            <w:pPr>
              <w:jc w:val="center"/>
            </w:pPr>
            <w:r>
              <w:rPr>
                <w:rFonts w:ascii="Times New Roman"/>
                <w:sz w:val="24"/>
              </w:rPr>
              <w:t>Компрессионные чулки, ранняя мобилизация</w:t>
            </w:r>
          </w:p>
        </w:tc>
        <w:tc>
          <w:tcPr>
            <w:vAlign w:val="center"/>
          </w:tcPr>
          <w:p>
            <w:pPr>
              <w:jc w:val="center"/>
            </w:pPr>
            <w:r>
              <w:rPr>
                <w:rFonts w:ascii="Times New Roman"/>
                <w:sz w:val="24"/>
              </w:rPr>
              <w:t>Отсутствие документирования применения</w:t>
            </w:r>
          </w:p>
        </w:tc>
      </w:tr>
    </w:tbl>
    <w:p>
      <w:r>
        <w:t/>
      </w:r>
    </w:p>
    <w:p>
      <w:pPr>
        <w:jc w:val="both"/>
        <w:ind w:firstLine="708"/>
        <w:spacing w:line="360" w:lineRule="auto"/>
      </w:pPr>
      <w:r>
        <w:rPr>
          <w:rFonts w:ascii="Times New Roman" w:hAnsi="Times New Roman"/>
          <w:sz w:val="28"/>
        </w:rPr>
        <w:t xml:space="preserve">Результаты аудита соблюдения протоколов формируют основу для разработки целенаправленных интервенций по улучшению качества медицинской помощи. Выявленные системные проблемы, такие как низкая осведомленность персонала, отсутствие стандартизированных процедур или проблемы с доступностью препаратов, требуют организационных решений на уровне медицинского учреждения. Индивидуальные случаи отклонений могут указывать на необходимость дополнительного обучения конкретных специалистов или пересмотра институциональных протоколов с учетом специфики пациентской популяции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Проведение систематического аудита соблюдения протоколов антикоагулянтной терапии после ортопедических операций представляет собой критически важный инструмент обеспечения качества медицинской помощи и безопасности пациентов. Ретроспективный анализ клинической практики позволяет выявить фактическую частоту осложнений, оценить приверженность клиническим рекомендациям и идентифицировать системные проблемы в организации тромбопрофилактики. Современные исследования демонстрируют значительную вариабельность результатов антикоагулянтной терапии в зависимости от строгости следования протоколам, выбора конкретных препаратов и особенностей популяции пациентов</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Методология аудита включает комплексную оценку медицинской документации, анализ назначений антикоагулянтов, мониторинг лабораторных показателей и систематический учет нежелательных явлений. Особое внимание уделяется сопоставлению реальной клинической практики с действующими национальными и международными рекомендациями, что позволяет выявить расхождения и разработать целенаправленные меры по улучшению качества помощи. Опыт крупных ортопедических центров показывает, что структурированный подход к аудиту способствует снижению частоты как тромбоэмболических, так и геморрагических осложнений</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Оценка частоты и структуры геморрагических осложнений</w:t>
      </w:r>
    </w:p>
    <w:p>
      <w:pPr>
        <w:jc w:val="both"/>
        <w:ind w:firstLine="708"/>
        <w:spacing w:line="360" w:lineRule="auto"/>
      </w:pPr>
      <w:r>
        <w:rPr>
          <w:rFonts w:ascii="Times New Roman" w:hAnsi="Times New Roman"/>
          <w:sz w:val="28"/>
        </w:rPr>
        <w:t xml:space="preserve">Систематическая оценка геморрагических осложнений в рамках аудита антикоагулянтной терапии требует четкого определения критериев кровотечений и стандартизированной системы их классификации. Согласно данным крупных исследований, частота геморрагических осложнений после ортопедических операций варьирует в широких пределах в зависимости от типа вмешательства, выбранного антикоагулянта и характеристик пациентов. При эндопротезировании тазобедренного и коленного суставов с использованием низкомолекулярных гепаринов частота больших кровотечений составляет от 1% до 3%, тогда как при применении прямых оральных антикоагулянтов этот показатель может быть несколько ниже</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Структурный анализ геморрагических осложнений позволяет выделить несколько основных категорий. Большие кровотечения, требующие гемотрансфузии или хирургического вмешательства, представляют наибольшую клиническую значимость, однако их частота относительно невелика. Клинически значимые малые кровотечения, включающие образование обширных гематом в области операционной раны, замедление заживления и необходимость дополнительных перевязок, встречаются значительно чаще и оказывают существенное влияние на сроки реабилитации и удовлетворенность пациентов результатами лечения</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Ретроспективный анализ медицинской документации ортопедического отделения за определенный период позволяет получить объективные данные о реальной частоте геморрагических осложнений в конкретном учреждении. Важным аспектом является сопоставление полученных показателей с данными литературы и результатами других центров, что дает возможность оценить качество оказываемой помощи и выявить потенциальные проблемные зоны. При проведении такого анализа необходимо учитывать различия в определениях кровотечений, используемых в разных исследованиях, и применять единые критерии для обеспечения сопоставимости данных</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Особое внимание в структуре геморрагических осложнений заслуживает временной профиль их развития. Большинство кровотечений возникает в первые 7-10 дней после операции, когда пациенты еще находятся в стационаре или только выписаны на амбулаторный этап. Однако продленная тромбопрофилактика в течение 28-35 дней создает риск отсроченных геморрагических осложнений, которые могут проявляться уже после окончания активного медицинского наблюдения. Это подчеркивает важность организации системы мониторинга пациентов на амбулаторном этапе и четких инструкций по обращению за медицинской помощью при появлении признаков кровотечения</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локализации кровотечений показывает, что наиболее часто встречаются кровоизлияния в области операционной раны и окружающих мягких тканей. Внутрисуставные гематомы могут приводить к ограничению объема движений и замедлению функционального восстановления. Желудочно-кишечные кровотечения, хотя и встречаются реже, представляют серьезную угрозу, особенно у пациентов с факторами риска, такими как язвенная болезнь в анамнезе или прием нестероидных противовоспалительных препаратов. Внутричерепные кровоизлияния являются наиболее опасными, но, к счастью, крайне редкими осложнениями антикоагулянтной терапии в ортопедической практике</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Количественная оценка кровопотери представляет определенные методологические сложности. Прямое измерение объема кровопотери не всегда возможно, особенно при подкожных гематомах. Поэтому в клинической практике часто используются косвенные критерии, такие как динамика уровня гемоглобина, необходимость гемотрансфузии, увеличение объема дренажного отделяемого. Стандартизация этих критериев в рамках аудита позволяет получить сопоставимые данные и объективно оценить тяжесть геморрагических осложнений</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Сравнительный анализ частоты кровотечений при использовании различных антикоагулянтов является важным компонентом аудита. Данные показывают, что прямые оральные антикоагулянты, такие как апиксабан и ривароксабан, демонстрируют сопоставимую или даже более низкую частоту геморрагических осложнений по сравнению с эноксапарином при аналогичной эффективности профилактики венозных тромбоэмболических осложнений. Исследование показало отсутствие различий в частоте кровотечений между группами пациентов, получавших апиксабан и эноксапарин после радикальной цистэктомии, что может быть экстраполировано и на ортопедическую практику</w:t>
      </w:r>
      <w:hyperlink w:anchor="_Source_13">
        <w:r>
          <w:rPr>
            <w:rFonts w:ascii="Times New Roman" w:hAnsi="Times New Roman"/>
            <w:sz w:val="28"/>
            <w:rStyle w:val="Hyperlink"/>
          </w:rPr>
          <w:t>[13]</w:t>
        </w:r>
      </w:hyperlink>
      <w:r>
        <w:rPr>
          <w:rFonts w:ascii="Times New Roman" w:hAnsi="Times New Roman"/>
          <w:sz w:val="28"/>
        </w:rPr>
        <w:t xml:space="preserve">.</w:t>
      </w:r>
    </w:p>
    <w:p>
      <w:pPr>
        <w:jc w:val="center"/>
        <w:spacing w:after="120"/>
      </w:pPr>
      <w:r>
        <w:rPr>
          <w:rFonts w:ascii="Times New Roman" w:hAnsi="Times New Roman"/>
          <w:sz w:val="24"/>
          <w:b/>
        </w:rPr>
        <w:t>Таблица 10. Структура геморрагических осложнений после ортопедических операций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Тип осложнения</w:t>
            </w:r>
          </w:p>
        </w:tc>
        <w:tc>
          <w:tcPr>
            <w:vAlign w:val="center"/>
          </w:tcPr>
          <w:p>
            <w:pPr>
              <w:jc w:val="center"/>
            </w:pPr>
            <w:r>
              <w:rPr>
                <w:rFonts w:ascii="Times New Roman"/>
                <w:sz w:val="24"/>
                <w:b/>
              </w:rPr>
              <w:t>Частота (%)</w:t>
            </w:r>
          </w:p>
        </w:tc>
        <w:tc>
          <w:tcPr>
            <w:vAlign w:val="center"/>
          </w:tcPr>
          <w:p>
            <w:pPr>
              <w:jc w:val="center"/>
            </w:pPr>
            <w:r>
              <w:rPr>
                <w:rFonts w:ascii="Times New Roman"/>
                <w:sz w:val="24"/>
                <w:b/>
              </w:rPr>
              <w:t>Клиническая значимость</w:t>
            </w:r>
          </w:p>
        </w:tc>
      </w:tr>
      <w:tr>
        <w:tc>
          <w:tcPr>
            <w:vAlign w:val="center"/>
          </w:tcPr>
          <w:p>
            <w:pPr>
              <w:jc w:val="center"/>
            </w:pPr>
            <w:r>
              <w:rPr>
                <w:rFonts w:ascii="Times New Roman"/>
                <w:sz w:val="24"/>
              </w:rPr>
              <w:t>Большие кровотечения</w:t>
            </w:r>
          </w:p>
        </w:tc>
        <w:tc>
          <w:tcPr>
            <w:vAlign w:val="center"/>
          </w:tcPr>
          <w:p>
            <w:pPr>
              <w:jc w:val="center"/>
            </w:pPr>
            <w:r>
              <w:rPr>
                <w:rFonts w:ascii="Times New Roman"/>
                <w:sz w:val="24"/>
              </w:rPr>
              <w:t>1-3</w:t>
            </w:r>
          </w:p>
        </w:tc>
        <w:tc>
          <w:tcPr>
            <w:vAlign w:val="center"/>
          </w:tcPr>
          <w:p>
            <w:pPr>
              <w:jc w:val="center"/>
            </w:pPr>
            <w:r>
              <w:rPr>
                <w:rFonts w:ascii="Times New Roman"/>
                <w:sz w:val="24"/>
              </w:rPr>
              <w:t>Высокая</w:t>
            </w:r>
          </w:p>
        </w:tc>
      </w:tr>
      <w:tr>
        <w:tc>
          <w:tcPr>
            <w:vAlign w:val="center"/>
          </w:tcPr>
          <w:p>
            <w:pPr>
              <w:jc w:val="center"/>
            </w:pPr>
            <w:r>
              <w:rPr>
                <w:rFonts w:ascii="Times New Roman"/>
                <w:sz w:val="24"/>
              </w:rPr>
              <w:t>Гематомы области раны</w:t>
            </w:r>
          </w:p>
        </w:tc>
        <w:tc>
          <w:tcPr>
            <w:vAlign w:val="center"/>
          </w:tcPr>
          <w:p>
            <w:pPr>
              <w:jc w:val="center"/>
            </w:pPr>
            <w:r>
              <w:rPr>
                <w:rFonts w:ascii="Times New Roman"/>
                <w:sz w:val="24"/>
              </w:rPr>
              <w:t>5-10</w:t>
            </w:r>
          </w:p>
        </w:tc>
        <w:tc>
          <w:tcPr>
            <w:vAlign w:val="center"/>
          </w:tcPr>
          <w:p>
            <w:pPr>
              <w:jc w:val="center"/>
            </w:pPr>
            <w:r>
              <w:rPr>
                <w:rFonts w:ascii="Times New Roman"/>
                <w:sz w:val="24"/>
              </w:rPr>
              <w:t>Средняя</w:t>
            </w:r>
          </w:p>
        </w:tc>
      </w:tr>
      <w:tr>
        <w:tc>
          <w:tcPr>
            <w:vAlign w:val="center"/>
          </w:tcPr>
          <w:p>
            <w:pPr>
              <w:jc w:val="center"/>
            </w:pPr>
            <w:r>
              <w:rPr>
                <w:rFonts w:ascii="Times New Roman"/>
                <w:sz w:val="24"/>
              </w:rPr>
              <w:t>Желудочно-кишечные кровотечения</w:t>
            </w:r>
          </w:p>
        </w:tc>
        <w:tc>
          <w:tcPr>
            <w:vAlign w:val="center"/>
          </w:tcPr>
          <w:p>
            <w:pPr>
              <w:jc w:val="center"/>
            </w:pPr>
            <w:r>
              <w:rPr>
                <w:rFonts w:ascii="Times New Roman"/>
                <w:sz w:val="24"/>
              </w:rPr>
              <w:t>0.5-1</w:t>
            </w:r>
          </w:p>
        </w:tc>
        <w:tc>
          <w:tcPr>
            <w:vAlign w:val="center"/>
          </w:tcPr>
          <w:p>
            <w:pPr>
              <w:jc w:val="center"/>
            </w:pPr>
            <w:r>
              <w:rPr>
                <w:rFonts w:ascii="Times New Roman"/>
                <w:sz w:val="24"/>
              </w:rPr>
              <w:t>Высокая</w:t>
            </w:r>
          </w:p>
        </w:tc>
      </w:tr>
      <w:tr>
        <w:tc>
          <w:tcPr>
            <w:vAlign w:val="center"/>
          </w:tcPr>
          <w:p>
            <w:pPr>
              <w:jc w:val="center"/>
            </w:pPr>
            <w:r>
              <w:rPr>
                <w:rFonts w:ascii="Times New Roman"/>
                <w:sz w:val="24"/>
              </w:rPr>
              <w:t>Внутрисуставные кровоизлияния</w:t>
            </w:r>
          </w:p>
        </w:tc>
        <w:tc>
          <w:tcPr>
            <w:vAlign w:val="center"/>
          </w:tcPr>
          <w:p>
            <w:pPr>
              <w:jc w:val="center"/>
            </w:pPr>
            <w:r>
              <w:rPr>
                <w:rFonts w:ascii="Times New Roman"/>
                <w:sz w:val="24"/>
              </w:rPr>
              <w:t>2-4</w:t>
            </w:r>
          </w:p>
        </w:tc>
        <w:tc>
          <w:tcPr>
            <w:vAlign w:val="center"/>
          </w:tcPr>
          <w:p>
            <w:pPr>
              <w:jc w:val="center"/>
            </w:pPr>
            <w:r>
              <w:rPr>
                <w:rFonts w:ascii="Times New Roman"/>
                <w:sz w:val="24"/>
              </w:rPr>
              <w:t>Средняя</w:t>
            </w:r>
          </w:p>
        </w:tc>
      </w:tr>
      <w:tr>
        <w:tc>
          <w:tcPr>
            <w:vAlign w:val="center"/>
          </w:tcPr>
          <w:p>
            <w:pPr>
              <w:jc w:val="center"/>
            </w:pPr>
            <w:r>
              <w:rPr>
                <w:rFonts w:ascii="Times New Roman"/>
                <w:sz w:val="24"/>
              </w:rPr>
              <w:t>Малые кровотечения</w:t>
            </w:r>
          </w:p>
        </w:tc>
        <w:tc>
          <w:tcPr>
            <w:vAlign w:val="center"/>
          </w:tcPr>
          <w:p>
            <w:pPr>
              <w:jc w:val="center"/>
            </w:pPr>
            <w:r>
              <w:rPr>
                <w:rFonts w:ascii="Times New Roman"/>
                <w:sz w:val="24"/>
              </w:rPr>
              <w:t>10-15</w:t>
            </w:r>
          </w:p>
        </w:tc>
        <w:tc>
          <w:tcPr>
            <w:vAlign w:val="center"/>
          </w:tcPr>
          <w:p>
            <w:pPr>
              <w:jc w:val="center"/>
            </w:pPr>
            <w:r>
              <w:rPr>
                <w:rFonts w:ascii="Times New Roman"/>
                <w:sz w:val="24"/>
              </w:rPr>
              <w:t>Низкая</w:t>
            </w:r>
          </w:p>
        </w:tc>
      </w:tr>
    </w:tbl>
    <w:p>
      <w:r>
        <w:t/>
      </w:r>
    </w:p>
    <w:p>
      <w:pPr>
        <w:jc w:val="both"/>
        <w:ind w:firstLine="708"/>
        <w:spacing w:line="360" w:lineRule="auto"/>
      </w:pPr>
      <w:r>
        <w:rPr>
          <w:rFonts w:ascii="Times New Roman" w:hAnsi="Times New Roman"/>
          <w:sz w:val="28"/>
        </w:rPr>
        <w:t xml:space="preserve">Важным аспектом оценки является анализ последствий геморрагических осложнений для исходов лечения. Кровотечения могут приводить к увеличению длительности госпитализации, необходимости повторных хирургических вмешательств, задержке начала реабилитационных мероприятий и, как следствие, ухудшению функциональных результатов. Экономический анализ показывает, что затраты на лечение геморрагических осложнений могут быть весьма значительными, включая стоимость гемотрансфузий, дополнительных диагностических процедур и продления госпитализации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Систематический учет всех случаев кровотечений в рамках аудита требует создания специализированной базы данных с детальной регистрацией характеристик каждого случая. Это включает документирование типа операции, используемого антикоагулянта и его дозировки, времени развития осложнения, клинических проявлений, проведенных лечебных мероприятий и исхода. Такая база данных становится ценным инструментом для последующего анализа факторов риска, оценки эффективности внедренных изменений в протоколы и непрерывного мониторинга качества помощи.</w:t>
      </w:r>
    </w:p>
    <w:p>
      <w:pPr>
        <w:pStyle w:val="Heading2"/>
        <w:spacing w:before="240" w:after="120"/>
      </w:pPr>
      <w:r>
        <w:rPr>
          <w:rFonts w:ascii="Times New Roman" w:hAnsi="Times New Roman"/>
          <w:b/>
          <w:sz w:val="28"/>
        </w:rPr>
        <w:t xml:space="preserve">Выявление факторов, влияющих на развитие кровотечений</w:t>
      </w:r>
    </w:p>
    <w:p>
      <w:pPr>
        <w:jc w:val="both"/>
        <w:ind w:firstLine="708"/>
        <w:spacing w:line="360" w:lineRule="auto"/>
      </w:pPr>
      <w:r>
        <w:rPr>
          <w:rFonts w:ascii="Times New Roman" w:hAnsi="Times New Roman"/>
          <w:sz w:val="28"/>
        </w:rPr>
        <w:t xml:space="preserve">Идентификация факторов риска геморрагических осложнений представляет собой ключевой элемент аудита, позволяющий разработать стратегии персонализированной профилактики и оптимизации антикоагулянтной терапии. Многофакторный анализ данных пациентов, перенесших ортопедические операции, выявляет широкий спектр предикторов кровотечений, которые можно разделить на несколько основных категорий: демографические и антропометрические характеристики, сопутствующая патология, особенности хирургического вмешательства и параметры антикоагулянтной терапии</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Возраст пациента является одним из наиболее значимых независимых факторов риска кровотечений. Пожилые пациенты, особенно старше 75 лет, демонстрируют повышенную частоту геморрагических осложнений, что связано с возрастными изменениями сосудистой стенки, снижением функции печени и почек, а также большей распространенностью сопутствующих заболеваний. Анализ показывает, что каждое десятилетие жизни после 65 лет ассоциировано с увеличением риска кровотечений на 20-30%. Это подчеркивает необходимость особенно тщательного подбора дозировок антикоагулянтов и интенсивного мониторинга у пациентов старшей возрастной группы</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Масса тела и индекс массы тела оказывают двунаправленное влияние на риск кровотечений. С одной стороны, низкая масса тела (менее 60 кг) ассоциирована с повышенным риском передозировки антикоагулянтов при использовании стандартных фиксированных доз, что увеличивает вероятность геморрагических осложнений. С другой стороны, выраженное ожирение может способствовать техническим сложностям во время операции, увеличению кровопотери и формированию обширных гематом. Японское исследование показало, что пациенты с массой тела менее 60 кг имеют повышенный риск кровотечений при использовании стандартных доз эдоксабана, что потребовало коррекции дозировки</w:t>
      </w:r>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Нарушение функции почек представляет собой критический фактор риска, особенно при использовании препаратов с преимущественно ренальным путем элиминации. Снижение клиренса креатинина ниже 50 мл/мин требует обязательной коррекции дозы большинства прямых оральных антикоагулянтов. Исследования показывают, что пациенты с умеренной почечной недостаточностью имеют в 2-3 раза более высокий риск больших кровотечений при использовании стандартных доз антикоагулянтов. Это подчеркивает важность рутинной оценки функции почек перед назначением тромбопрофилактики и регулярного мониторинга в процессе лечения</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Сопутствующая терапия, особенно одновременное применение антиагрегантов, нестероидных противовоспалительных препаратов или других средств, влияющих на гемостаз, значительно увеличивает риск кровотечений. Ацетилсалициловая кислота, широко используемая для профилактики сердечно-сосудистых осложнений, при комбинации с антикоагулянтами повышает риск геморрагических осложнений на 50-70%. Это создает клиническую дилемму у пациентов с высоким кардиоваскулярным риском, требующую тщательной оценки соотношения пользы и риска при планировании периоперационной антитромботической терапии</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Анамнестические данные о предшествующих кровотечениях, язвенной болезни желудка и двенадцатиперстной кишки, заболеваниях печени или нарушениях свертывающей системы крови являются важными предикторами геморрагических осложнений. Пациенты с кровотечениями в анамнезе имеют в 3-5 раз более высокий риск повторных эпизодов при проведении антикоагулянтной терапии. Однако эти данные не всегда детально документируются в медицинской документации, что подчеркивает необходимость стандартизации сбора анамнеза и использования валидированных шкал оценки риска кровотечений</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Хирургические факторы также играют существенную роль в развитии геморрагических осложнений. Длительность операции, объем интраоперационной кровопотери, необходимость обширной мобилизации мягких тканей и сложность хирургической техники коррелируют с риском послеоперационных кровотечений. Ревизионные эндопротезирования ассоциированы с более высокой частотой геморрагических осложнений по сравнению с первичными операциями. Это требует дифференцированного подхода к выбору режима антикоагулянтной терапии в зависимости от типа и сложности хирургического вмешательства</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Время начала антикоагулянтной терапии после операции представляет собой модифицируемый фактор риска, требующий оптимизации. Слишком раннее начало терапии в первые часы после операции может увеличивать риск кровотечений, тогда как отсроченное назначение снижает эффективность тромбопрофилактики. Современные протоколы рекомендуют начинать прием прямых оральных антикоагулянтов через 6-12 часов после операции при условии достижения адекватного гемостаза. Анализ соблюдения этих рекомендаций в рамках аудита позволяет выявить случаи необоснованно раннего или позднего начала терапии</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Лабораторные показатели, особенно исходный уровень гемоглобина и количество тромбоцитов, также могут служить предикторами геморрагических осложнений. Предоперационная анемия ассоциирована с более высокой вероятностью необходимости гемотрансфузии в послеоперационном периоде. Тромбоцитопения ниже 100×10⁹/л требует особой осторожности при назначении антикоагулянтов. Мониторинг D-димера в послеоперационном периоде, как показано в японском исследовании, может служить дополнительным инструментом стратификации риска, хотя его повышение после операции является ожидаемым и требует тщательной интерпретации</w:t>
      </w:r>
      <w:hyperlink w:anchor="_Source_15">
        <w:r>
          <w:rPr>
            <w:rFonts w:ascii="Times New Roman" w:hAnsi="Times New Roman"/>
            <w:sz w:val="28"/>
            <w:rStyle w:val="Hyperlink"/>
          </w:rPr>
          <w:t>[15]</w:t>
        </w:r>
      </w:hyperlink>
      <w:r>
        <w:rPr>
          <w:rFonts w:ascii="Times New Roman" w:hAnsi="Times New Roman"/>
          <w:sz w:val="28"/>
        </w:rPr>
        <w:t xml:space="preserve">.</w:t>
      </w:r>
    </w:p>
    <w:p>
      <w:pPr>
        <w:jc w:val="center"/>
        <w:spacing w:after="120"/>
      </w:pPr>
      <w:r>
        <w:rPr>
          <w:rFonts w:ascii="Times New Roman" w:hAnsi="Times New Roman"/>
          <w:sz w:val="24"/>
          <w:b/>
        </w:rPr>
        <w:t>Таблица 11. Основные факторы риска геморрагических осложнений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Категория факторов</w:t>
            </w:r>
          </w:p>
        </w:tc>
        <w:tc>
          <w:tcPr>
            <w:vAlign w:val="center"/>
          </w:tcPr>
          <w:p>
            <w:pPr>
              <w:jc w:val="center"/>
            </w:pPr>
            <w:r>
              <w:rPr>
                <w:rFonts w:ascii="Times New Roman"/>
                <w:sz w:val="24"/>
                <w:b/>
              </w:rPr>
              <w:t>Конкретные предикторы</w:t>
            </w:r>
          </w:p>
        </w:tc>
        <w:tc>
          <w:tcPr>
            <w:vAlign w:val="center"/>
          </w:tcPr>
          <w:p>
            <w:pPr>
              <w:jc w:val="center"/>
            </w:pPr>
            <w:r>
              <w:rPr>
                <w:rFonts w:ascii="Times New Roman"/>
                <w:sz w:val="24"/>
                <w:b/>
              </w:rPr>
              <w:t>Относительный риск</w:t>
            </w:r>
          </w:p>
        </w:tc>
      </w:tr>
      <w:tr>
        <w:tc>
          <w:tcPr>
            <w:vAlign w:val="center"/>
          </w:tcPr>
          <w:p>
            <w:pPr>
              <w:jc w:val="center"/>
            </w:pPr>
            <w:r>
              <w:rPr>
                <w:rFonts w:ascii="Times New Roman"/>
                <w:sz w:val="24"/>
              </w:rPr>
              <w:t>Демографические</w:t>
            </w:r>
          </w:p>
        </w:tc>
        <w:tc>
          <w:tcPr>
            <w:vAlign w:val="center"/>
          </w:tcPr>
          <w:p>
            <w:pPr>
              <w:jc w:val="center"/>
            </w:pPr>
            <w:r>
              <w:rPr>
                <w:rFonts w:ascii="Times New Roman"/>
                <w:sz w:val="24"/>
              </w:rPr>
              <w:t>Возраст &gt;75 лет</w:t>
            </w:r>
          </w:p>
        </w:tc>
        <w:tc>
          <w:tcPr>
            <w:vAlign w:val="center"/>
          </w:tcPr>
          <w:p>
            <w:pPr>
              <w:jc w:val="center"/>
            </w:pPr>
            <w:r>
              <w:rPr>
                <w:rFonts w:ascii="Times New Roman"/>
                <w:sz w:val="24"/>
              </w:rPr>
              <w:t>1.5-2.0</w:t>
            </w:r>
          </w:p>
        </w:tc>
      </w:tr>
      <w:tr>
        <w:tc>
          <w:tcPr>
            <w:vAlign w:val="center"/>
          </w:tcPr>
          <w:p>
            <w:pPr>
              <w:jc w:val="center"/>
            </w:pPr>
            <w:r>
              <w:rPr>
                <w:rFonts w:ascii="Times New Roman"/>
                <w:sz w:val="24"/>
              </w:rPr>
              <w:t>Антропометрические</w:t>
            </w:r>
          </w:p>
        </w:tc>
        <w:tc>
          <w:tcPr>
            <w:vAlign w:val="center"/>
          </w:tcPr>
          <w:p>
            <w:pPr>
              <w:jc w:val="center"/>
            </w:pPr>
            <w:r>
              <w:rPr>
                <w:rFonts w:ascii="Times New Roman"/>
                <w:sz w:val="24"/>
              </w:rPr>
              <w:t>Масса тела &lt;60 кг</w:t>
            </w:r>
          </w:p>
        </w:tc>
        <w:tc>
          <w:tcPr>
            <w:vAlign w:val="center"/>
          </w:tcPr>
          <w:p>
            <w:pPr>
              <w:jc w:val="center"/>
            </w:pPr>
            <w:r>
              <w:rPr>
                <w:rFonts w:ascii="Times New Roman"/>
                <w:sz w:val="24"/>
              </w:rPr>
              <w:t>1.8-2.5</w:t>
            </w:r>
          </w:p>
        </w:tc>
      </w:tr>
      <w:tr>
        <w:tc>
          <w:tcPr>
            <w:vAlign w:val="center"/>
          </w:tcPr>
          <w:p>
            <w:pPr>
              <w:jc w:val="center"/>
            </w:pPr>
            <w:r>
              <w:rPr>
                <w:rFonts w:ascii="Times New Roman"/>
                <w:sz w:val="24"/>
              </w:rPr>
              <w:t>Функция почек</w:t>
            </w:r>
          </w:p>
        </w:tc>
        <w:tc>
          <w:tcPr>
            <w:vAlign w:val="center"/>
          </w:tcPr>
          <w:p>
            <w:pPr>
              <w:jc w:val="center"/>
            </w:pPr>
            <w:r>
              <w:rPr>
                <w:rFonts w:ascii="Times New Roman"/>
                <w:sz w:val="24"/>
              </w:rPr>
              <w:t>СКФ &lt;50 мл/мин</w:t>
            </w:r>
          </w:p>
        </w:tc>
        <w:tc>
          <w:tcPr>
            <w:vAlign w:val="center"/>
          </w:tcPr>
          <w:p>
            <w:pPr>
              <w:jc w:val="center"/>
            </w:pPr>
            <w:r>
              <w:rPr>
                <w:rFonts w:ascii="Times New Roman"/>
                <w:sz w:val="24"/>
              </w:rPr>
              <w:t>2.0-3.0</w:t>
            </w:r>
          </w:p>
        </w:tc>
      </w:tr>
      <w:tr>
        <w:tc>
          <w:tcPr>
            <w:vAlign w:val="center"/>
          </w:tcPr>
          <w:p>
            <w:pPr>
              <w:jc w:val="center"/>
            </w:pPr>
            <w:r>
              <w:rPr>
                <w:rFonts w:ascii="Times New Roman"/>
                <w:sz w:val="24"/>
              </w:rPr>
              <w:t>Сопутствующая терапия</w:t>
            </w:r>
          </w:p>
        </w:tc>
        <w:tc>
          <w:tcPr>
            <w:vAlign w:val="center"/>
          </w:tcPr>
          <w:p>
            <w:pPr>
              <w:jc w:val="center"/>
            </w:pPr>
            <w:r>
              <w:rPr>
                <w:rFonts w:ascii="Times New Roman"/>
                <w:sz w:val="24"/>
              </w:rPr>
              <w:t>Антиагреганты</w:t>
            </w:r>
          </w:p>
        </w:tc>
        <w:tc>
          <w:tcPr>
            <w:vAlign w:val="center"/>
          </w:tcPr>
          <w:p>
            <w:pPr>
              <w:jc w:val="center"/>
            </w:pPr>
            <w:r>
              <w:rPr>
                <w:rFonts w:ascii="Times New Roman"/>
                <w:sz w:val="24"/>
              </w:rPr>
              <w:t>1.5-1.7</w:t>
            </w:r>
          </w:p>
        </w:tc>
      </w:tr>
      <w:tr>
        <w:tc>
          <w:tcPr>
            <w:vAlign w:val="center"/>
          </w:tcPr>
          <w:p>
            <w:pPr>
              <w:jc w:val="center"/>
            </w:pPr>
            <w:r>
              <w:rPr>
                <w:rFonts w:ascii="Times New Roman"/>
                <w:sz w:val="24"/>
              </w:rPr>
              <w:t>Анамнез</w:t>
            </w:r>
          </w:p>
        </w:tc>
        <w:tc>
          <w:tcPr>
            <w:vAlign w:val="center"/>
          </w:tcPr>
          <w:p>
            <w:pPr>
              <w:jc w:val="center"/>
            </w:pPr>
            <w:r>
              <w:rPr>
                <w:rFonts w:ascii="Times New Roman"/>
                <w:sz w:val="24"/>
              </w:rPr>
              <w:t>Кровотечения в прошлом</w:t>
            </w:r>
          </w:p>
        </w:tc>
        <w:tc>
          <w:tcPr>
            <w:vAlign w:val="center"/>
          </w:tcPr>
          <w:p>
            <w:pPr>
              <w:jc w:val="center"/>
            </w:pPr>
            <w:r>
              <w:rPr>
                <w:rFonts w:ascii="Times New Roman"/>
                <w:sz w:val="24"/>
              </w:rPr>
              <w:t>3.0-5.0</w:t>
            </w:r>
          </w:p>
        </w:tc>
      </w:tr>
      <w:tr>
        <w:tc>
          <w:tcPr>
            <w:vAlign w:val="center"/>
          </w:tcPr>
          <w:p>
            <w:pPr>
              <w:jc w:val="center"/>
            </w:pPr>
            <w:r>
              <w:rPr>
                <w:rFonts w:ascii="Times New Roman"/>
                <w:sz w:val="24"/>
              </w:rPr>
              <w:t>Хирургические</w:t>
            </w:r>
          </w:p>
        </w:tc>
        <w:tc>
          <w:tcPr>
            <w:vAlign w:val="center"/>
          </w:tcPr>
          <w:p>
            <w:pPr>
              <w:jc w:val="center"/>
            </w:pPr>
            <w:r>
              <w:rPr>
                <w:rFonts w:ascii="Times New Roman"/>
                <w:sz w:val="24"/>
              </w:rPr>
              <w:t>Ревизионное вмешательство</w:t>
            </w:r>
          </w:p>
        </w:tc>
        <w:tc>
          <w:tcPr>
            <w:vAlign w:val="center"/>
          </w:tcPr>
          <w:p>
            <w:pPr>
              <w:jc w:val="center"/>
            </w:pPr>
            <w:r>
              <w:rPr>
                <w:rFonts w:ascii="Times New Roman"/>
                <w:sz w:val="24"/>
              </w:rPr>
              <w:t>1.5-2.0</w:t>
            </w:r>
          </w:p>
        </w:tc>
      </w:tr>
    </w:tbl>
    <w:p>
      <w:r>
        <w:t/>
      </w:r>
    </w:p>
    <w:p>
      <w:pPr>
        <w:jc w:val="both"/>
        <w:ind w:firstLine="708"/>
        <w:spacing w:line="360" w:lineRule="auto"/>
      </w:pPr>
      <w:r>
        <w:rPr>
          <w:rFonts w:ascii="Times New Roman" w:hAnsi="Times New Roman"/>
          <w:sz w:val="28"/>
        </w:rPr>
        <w:t xml:space="preserve">Недостаточная дозировка антикоагулянтов, не соответствующая клиническим рекомендациям, может парадоксальным образом как снижать эффективность тромбопрофилактики, так и в некоторых случаях влиять на частоту кровотечений. Исследование применения эдоксабана показало, что необоснованное назначение сниженной дозы пациентам, не имеющим показаний к редукции, может приводить к неоптимальным результатам. Аудит соответствия назначенных доз клиническим рекомендациям выявляет такие случаи и позволяет провести образовательную работу с медицинским персоналом</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Интеграция выявленных факторов риска в клиническую практику требует использования валидированных шкал оценки риска кровотечений, таких как HAS-BLED или специализированные шкалы для ортопедических пациентов. Систематическое применение таких инструментов в рамках предоперационной оценки позволяет идентифицировать пациентов высокого риска и персонализировать стратегию тромбопрофилактики. Результаты аудита могут продемонстрировать текущий уровень использования шкал риска и выявить возможности для улучшения практики стратификации пациентов.</w:t>
      </w:r>
    </w:p>
    <w:p>
      <w:pPr>
        <w:pStyle w:val="Heading2"/>
        <w:spacing w:before="240" w:after="120"/>
      </w:pPr>
      <w:r>
        <w:rPr>
          <w:rFonts w:ascii="Times New Roman" w:hAnsi="Times New Roman"/>
          <w:b/>
          <w:sz w:val="28"/>
        </w:rPr>
        <w:t xml:space="preserve">Анализ взаимосвязи между отклонениями от протоколов и осложнениями</w:t>
      </w:r>
    </w:p>
    <w:p>
      <w:pPr>
        <w:jc w:val="both"/>
        <w:ind w:firstLine="708"/>
        <w:spacing w:line="360" w:lineRule="auto"/>
      </w:pPr>
      <w:r>
        <w:rPr>
          <w:rFonts w:ascii="Times New Roman" w:hAnsi="Times New Roman"/>
          <w:sz w:val="28"/>
        </w:rPr>
        <w:t xml:space="preserve">Систематический анализ соблюдения протоколов антикоагулянтной терапии после ортопедических операций позволяет выявить критические факторы, влияющие на безопасность и эффективность лечения. Практика показывает, что даже незначительные отклонения от установленных рекомендаций могут приводить к развитию серьезных осложнений, включая венозные тромбоэмболические события (ВТЭ) и геморрагические осложнения.</w:t>
      </w:r>
    </w:p>
    <w:p>
      <w:pPr>
        <w:jc w:val="both"/>
        <w:ind w:firstLine="708"/>
        <w:spacing w:line="360" w:lineRule="auto"/>
      </w:pPr>
      <w:r>
        <w:rPr>
          <w:rFonts w:ascii="Times New Roman" w:hAnsi="Times New Roman"/>
          <w:sz w:val="28"/>
        </w:rPr>
        <w:t xml:space="preserve">Основными категориями отклонений от протоколов антикоагулянтной терапии являются неправильный выбор препарата, некорректное дозирование и несоблюдение сроков профилактики. Клинические исследования демонстрируют, что применение сниженных доз антикоагулянтов без соответствующих показаний (underdosing) является распространенной проблемой в практике</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большой выборки пациентов после радикальной цистэктомии показал, что при строгом соблюдении протокола 28-дневной профилактики низкомолекулярным гепарином или прямыми оральными антикоагулянтами частота ВТЭ составляет менее 2% в течение 30 дней после операции</w:t>
      </w:r>
      <w:hyperlink w:anchor="_Source_13">
        <w:r>
          <w:rPr>
            <w:rFonts w:ascii="Times New Roman" w:hAnsi="Times New Roman"/>
            <w:sz w:val="28"/>
            <w:rStyle w:val="Hyperlink"/>
          </w:rPr>
          <w:t>[13]</w:t>
        </w:r>
      </w:hyperlink>
      <w:r>
        <w:rPr>
          <w:rFonts w:ascii="Times New Roman" w:hAnsi="Times New Roman"/>
          <w:sz w:val="28"/>
        </w:rPr>
        <w:t xml:space="preserve">. Напротив, отклонения от рекомендованной продолжительности терапии ассоциируются с существенным увеличением тромботических осложнений.</w:t>
      </w:r>
    </w:p>
    <w:p>
      <w:pPr>
        <w:jc w:val="both"/>
        <w:ind w:firstLine="708"/>
        <w:spacing w:line="360" w:lineRule="auto"/>
      </w:pPr>
      <w:r>
        <w:rPr>
          <w:rFonts w:ascii="Times New Roman" w:hAnsi="Times New Roman"/>
          <w:sz w:val="28"/>
        </w:rPr>
        <w:t xml:space="preserve">Особое внимание заслуживает проблема недостаточной дозировки препаратов. В японском исследовании пациентов после эндопротезирования суставов было установлено, что около 82-92% пациентов получали сниженные дозы эдоксабана (15 мг вместо 30 мг) без строгих клинических показаний</w:t>
      </w:r>
      <w:hyperlink w:anchor="_Source_15">
        <w:r>
          <w:rPr>
            <w:rFonts w:ascii="Times New Roman" w:hAnsi="Times New Roman"/>
            <w:sz w:val="28"/>
            <w:rStyle w:val="Hyperlink"/>
          </w:rPr>
          <w:t>[15]</w:t>
        </w:r>
      </w:hyperlink>
      <w:r>
        <w:rPr>
          <w:rFonts w:ascii="Times New Roman" w:hAnsi="Times New Roman"/>
          <w:sz w:val="28"/>
        </w:rPr>
        <w:t xml:space="preserve">. Хотя пропорция пациентов с недостаточной дозировкой была сопоставима в группах с ВТЭ и без них после применения метода PSM (propensity score matching), сам факт широкого распространения этой практики вызывает обеспокоенность.</w:t>
      </w:r>
    </w:p>
    <w:p>
      <w:pPr>
        <w:jc w:val="both"/>
        <w:ind w:firstLine="708"/>
        <w:spacing w:line="360" w:lineRule="auto"/>
      </w:pPr>
      <w:r>
        <w:rPr>
          <w:rFonts w:ascii="Times New Roman" w:hAnsi="Times New Roman"/>
          <w:sz w:val="28"/>
        </w:rPr>
        <w:t xml:space="preserve">Время начала антикоагулянтной терапии является критическим фактором профилактики. Сравнительный анализ различных стратегий показывает значительные различия в эффективности в зависимости от сроков инициации терапии. При немедленном назначении аспирина с первых суток после артропластики частота симптоматических ВТЭ достигает 3,5%, что почти в два раза превышает показатели при использовании эноксапарина (1,8%)</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 противоположность этому, стратегия последовательной терапии, при которой пациенты получают короткий курс ривароксабана с последующим переходом на аспирин через 5 дней, демонстрирует сопоставимую эффективность с продленным курсом ривароксабана (0,64% против 0,70%)</w:t>
      </w:r>
      <w:hyperlink w:anchor="_Source_14">
        <w:r>
          <w:rPr>
            <w:rFonts w:ascii="Times New Roman" w:hAnsi="Times New Roman"/>
            <w:sz w:val="28"/>
            <w:rStyle w:val="Hyperlink"/>
          </w:rPr>
          <w:t>[14]</w:t>
        </w:r>
      </w:hyperlink>
      <w:r>
        <w:rPr>
          <w:rFonts w:ascii="Times New Roman" w:hAnsi="Times New Roman"/>
          <w:sz w:val="28"/>
        </w:rPr>
        <w:t xml:space="preserve">. Это подчеркивает важность адекватной антикоагуляции в раннем послеоперационном периоде, когда риск тромбообразования максимален.</w:t>
      </w:r>
    </w:p>
    <w:p>
      <w:pPr>
        <w:jc w:val="both"/>
        <w:ind w:firstLine="708"/>
        <w:spacing w:line="360" w:lineRule="auto"/>
      </w:pPr>
      <w:r>
        <w:rPr>
          <w:rFonts w:ascii="Times New Roman" w:hAnsi="Times New Roman"/>
          <w:sz w:val="28"/>
        </w:rPr>
        <w:t xml:space="preserve">Мониторинг лабораторных параметров играет существенную роль в оценке эффективности антикоагулянтной терапии и раннем выявлении осложнений. Уровень D-димера на 7-е сутки после операции может служить важным сигналом развития ВТЭ даже на фоне проводимой антикоагулянтной терапии</w:t>
      </w:r>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Ретроспективное исследование с использованием PSM продемонстрировало статистически значимые различия в уровнях D-димера между пациентами с ВТЭ и без него. Медианные значения составили 9,6 мкг/мл (интерквартильный размах 6,3-12,4) в группе с ВТЭ против 6,2 мкг/мл (4,2-8,1) в группе без тромботических осложнений (p=0,005)</w:t>
      </w:r>
      <w:hyperlink w:anchor="_Source_15">
        <w:r>
          <w:rPr>
            <w:rFonts w:ascii="Times New Roman" w:hAnsi="Times New Roman"/>
            <w:sz w:val="28"/>
            <w:rStyle w:val="Hyperlink"/>
          </w:rPr>
          <w:t>[15]</w:t>
        </w:r>
      </w:hyperlink>
      <w:r>
        <w:rPr>
          <w:rFonts w:ascii="Times New Roman" w:hAnsi="Times New Roman"/>
          <w:sz w:val="28"/>
        </w:rPr>
        <w:t xml:space="preserve">. Эти данные свидетельствуют о том, что повышенные значения D-димера на фоне антикоагулянтной терапии требуют дополнительного обследования пациента, даже при отсутствии клинических симптомов.</w:t>
      </w:r>
    </w:p>
    <w:p>
      <w:pPr>
        <w:jc w:val="both"/>
        <w:ind w:firstLine="708"/>
        <w:spacing w:line="360" w:lineRule="auto"/>
      </w:pPr>
      <w:r>
        <w:rPr>
          <w:rFonts w:ascii="Times New Roman" w:hAnsi="Times New Roman"/>
          <w:sz w:val="28"/>
        </w:rPr>
        <w:t xml:space="preserve">Важным аспектом анализа является оценка баланса между профилактикой тромбозов и риском кровотечений. Клинические данные свидетельствуют, что при правильном соблюдении протоколов частота геморрагических осложнений остается на приемлемом уровне независимо от выбора антикоагулянта</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Сравнительный анализ эноксапарина и апиксабана после радикальной цистэктомии показал отсутствие статистически значимых различий в частоте кровотечений в течение 30 дней после операции: по одному случаю (1,0% и 1,2% соответственно) в каждой группе (p=1,0)</w:t>
      </w:r>
      <w:hyperlink w:anchor="_Source_13">
        <w:r>
          <w:rPr>
            <w:rFonts w:ascii="Times New Roman" w:hAnsi="Times New Roman"/>
            <w:sz w:val="28"/>
            <w:rStyle w:val="Hyperlink"/>
          </w:rPr>
          <w:t>[13]</w:t>
        </w:r>
      </w:hyperlink>
      <w:r>
        <w:rPr>
          <w:rFonts w:ascii="Times New Roman" w:hAnsi="Times New Roman"/>
          <w:sz w:val="28"/>
        </w:rPr>
        <w:t xml:space="preserve">. Аналогичные результаты получены в исследованиях после артропластики, где различные режимы антикоагуляции демонстрировали сопоставимые профили безопасности</w:t>
      </w:r>
      <w:hyperlink w:anchor="_Source_14">
        <w:r>
          <w:rPr>
            <w:rFonts w:ascii="Times New Roman" w:hAnsi="Times New Roman"/>
            <w:sz w:val="28"/>
            <w:rStyle w:val="Hyperlink"/>
          </w:rPr>
          <w:t>[14]</w:t>
        </w:r>
      </w:hyperlink>
      <w:r>
        <w:rPr>
          <w:rFonts w:ascii="Times New Roman" w:hAnsi="Times New Roman"/>
          <w:sz w:val="28"/>
        </w:rPr>
        <w:t xml:space="preserve">.</w:t>
      </w:r>
    </w:p>
    <w:p>
      <w:pPr>
        <w:jc w:val="center"/>
        <w:spacing w:after="120"/>
      </w:pPr>
      <w:r>
        <w:rPr>
          <w:rFonts w:ascii="Times New Roman" w:hAnsi="Times New Roman"/>
          <w:sz w:val="24"/>
          <w:b/>
        </w:rPr>
        <w:t>Таблица 12. Частота осложнений при различных режимах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Тип операции</w:t>
            </w:r>
          </w:p>
        </w:tc>
        <w:tc>
          <w:tcPr>
            <w:vAlign w:val="center"/>
          </w:tcPr>
          <w:p>
            <w:pPr>
              <w:jc w:val="center"/>
            </w:pPr>
            <w:r>
              <w:rPr>
                <w:rFonts w:ascii="Times New Roman"/>
                <w:sz w:val="24"/>
                <w:b/>
              </w:rPr>
              <w:t>Препарат</w:t>
            </w:r>
          </w:p>
        </w:tc>
        <w:tc>
          <w:tcPr>
            <w:vAlign w:val="center"/>
          </w:tcPr>
          <w:p>
            <w:pPr>
              <w:jc w:val="center"/>
            </w:pPr>
            <w:r>
              <w:rPr>
                <w:rFonts w:ascii="Times New Roman"/>
                <w:sz w:val="24"/>
                <w:b/>
              </w:rPr>
              <w:t>ВТЭ 30 дней (%)</w:t>
            </w:r>
          </w:p>
        </w:tc>
        <w:tc>
          <w:tcPr>
            <w:vAlign w:val="center"/>
          </w:tcPr>
          <w:p>
            <w:pPr>
              <w:jc w:val="center"/>
            </w:pPr>
            <w:r>
              <w:rPr>
                <w:rFonts w:ascii="Times New Roman"/>
                <w:sz w:val="24"/>
                <w:b/>
              </w:rPr>
              <w:t>Кровотечения (%)</w:t>
            </w:r>
          </w:p>
        </w:tc>
      </w:tr>
      <w:tr>
        <w:tc>
          <w:tcPr>
            <w:vAlign w:val="center"/>
          </w:tcPr>
          <w:p>
            <w:pPr>
              <w:jc w:val="center"/>
            </w:pPr>
            <w:r>
              <w:rPr>
                <w:rFonts w:ascii="Times New Roman"/>
                <w:sz w:val="24"/>
              </w:rPr>
              <w:t>Цистэктомия</w:t>
            </w:r>
          </w:p>
        </w:tc>
        <w:tc>
          <w:tcPr>
            <w:vAlign w:val="center"/>
          </w:tcPr>
          <w:p>
            <w:pPr>
              <w:jc w:val="center"/>
            </w:pPr>
            <w:r>
              <w:rPr>
                <w:rFonts w:ascii="Times New Roman"/>
                <w:sz w:val="24"/>
              </w:rPr>
              <w:t>Эноксапарин</w:t>
            </w:r>
          </w:p>
        </w:tc>
        <w:tc>
          <w:tcPr>
            <w:vAlign w:val="center"/>
          </w:tcPr>
          <w:p>
            <w:pPr>
              <w:jc w:val="center"/>
            </w:pPr>
            <w:r>
              <w:rPr>
                <w:rFonts w:ascii="Times New Roman"/>
                <w:sz w:val="24"/>
              </w:rPr>
              <w:t>2,0</w:t>
            </w:r>
          </w:p>
        </w:tc>
        <w:tc>
          <w:tcPr>
            <w:vAlign w:val="center"/>
          </w:tcPr>
          <w:p>
            <w:pPr>
              <w:jc w:val="center"/>
            </w:pPr>
            <w:r>
              <w:rPr>
                <w:rFonts w:ascii="Times New Roman"/>
                <w:sz w:val="24"/>
              </w:rPr>
              <w:t>1,0</w:t>
            </w:r>
          </w:p>
        </w:tc>
      </w:tr>
      <w:tr>
        <w:tc>
          <w:tcPr>
            <w:vAlign w:val="center"/>
          </w:tcPr>
          <w:p>
            <w:pPr>
              <w:jc w:val="center"/>
            </w:pPr>
            <w:r>
              <w:rPr>
                <w:rFonts w:ascii="Times New Roman"/>
                <w:sz w:val="24"/>
              </w:rPr>
              <w:t>Цистэктомия</w:t>
            </w:r>
          </w:p>
        </w:tc>
        <w:tc>
          <w:tcPr>
            <w:vAlign w:val="center"/>
          </w:tcPr>
          <w:p>
            <w:pPr>
              <w:jc w:val="center"/>
            </w:pPr>
            <w:r>
              <w:rPr>
                <w:rFonts w:ascii="Times New Roman"/>
                <w:sz w:val="24"/>
              </w:rPr>
              <w:t>Апиксабан</w:t>
            </w:r>
          </w:p>
        </w:tc>
        <w:tc>
          <w:tcPr>
            <w:vAlign w:val="center"/>
          </w:tcPr>
          <w:p>
            <w:pPr>
              <w:jc w:val="center"/>
            </w:pPr>
            <w:r>
              <w:rPr>
                <w:rFonts w:ascii="Times New Roman"/>
                <w:sz w:val="24"/>
              </w:rPr>
              <w:t>0</w:t>
            </w:r>
          </w:p>
        </w:tc>
        <w:tc>
          <w:tcPr>
            <w:vAlign w:val="center"/>
          </w:tcPr>
          <w:p>
            <w:pPr>
              <w:jc w:val="center"/>
            </w:pPr>
            <w:r>
              <w:rPr>
                <w:rFonts w:ascii="Times New Roman"/>
                <w:sz w:val="24"/>
              </w:rPr>
              <w:t>1,2</w:t>
            </w:r>
          </w:p>
        </w:tc>
      </w:tr>
      <w:tr>
        <w:tc>
          <w:tcPr>
            <w:vAlign w:val="center"/>
          </w:tcPr>
          <w:p>
            <w:pPr>
              <w:jc w:val="center"/>
            </w:pPr>
            <w:r>
              <w:rPr>
                <w:rFonts w:ascii="Times New Roman"/>
                <w:sz w:val="24"/>
              </w:rPr>
              <w:t>Артропластика (ранний старт)</w:t>
            </w:r>
          </w:p>
        </w:tc>
        <w:tc>
          <w:tcPr>
            <w:vAlign w:val="center"/>
          </w:tcPr>
          <w:p>
            <w:pPr>
              <w:jc w:val="center"/>
            </w:pPr>
            <w:r>
              <w:rPr>
                <w:rFonts w:ascii="Times New Roman"/>
                <w:sz w:val="24"/>
              </w:rPr>
              <w:t>Аспирин</w:t>
            </w:r>
          </w:p>
        </w:tc>
        <w:tc>
          <w:tcPr>
            <w:vAlign w:val="center"/>
          </w:tcPr>
          <w:p>
            <w:pPr>
              <w:jc w:val="center"/>
            </w:pPr>
            <w:r>
              <w:rPr>
                <w:rFonts w:ascii="Times New Roman"/>
                <w:sz w:val="24"/>
              </w:rPr>
              <w:t>3,5</w:t>
            </w:r>
          </w:p>
        </w:tc>
        <w:tc>
          <w:tcPr>
            <w:vAlign w:val="center"/>
          </w:tcPr>
          <w:p>
            <w:pPr>
              <w:jc w:val="center"/>
            </w:pPr>
            <w:r>
              <w:rPr>
                <w:rFonts w:ascii="Times New Roman"/>
                <w:sz w:val="24"/>
              </w:rPr>
              <w:t>Сопоставимо</w:t>
            </w:r>
          </w:p>
        </w:tc>
      </w:tr>
      <w:tr>
        <w:tc>
          <w:tcPr>
            <w:vAlign w:val="center"/>
          </w:tcPr>
          <w:p>
            <w:pPr>
              <w:jc w:val="center"/>
            </w:pPr>
            <w:r>
              <w:rPr>
                <w:rFonts w:ascii="Times New Roman"/>
                <w:sz w:val="24"/>
              </w:rPr>
              <w:t>Артропластика (ранний старт)</w:t>
            </w:r>
          </w:p>
        </w:tc>
        <w:tc>
          <w:tcPr>
            <w:vAlign w:val="center"/>
          </w:tcPr>
          <w:p>
            <w:pPr>
              <w:jc w:val="center"/>
            </w:pPr>
            <w:r>
              <w:rPr>
                <w:rFonts w:ascii="Times New Roman"/>
                <w:sz w:val="24"/>
              </w:rPr>
              <w:t>Эноксапарин</w:t>
            </w:r>
          </w:p>
        </w:tc>
        <w:tc>
          <w:tcPr>
            <w:vAlign w:val="center"/>
          </w:tcPr>
          <w:p>
            <w:pPr>
              <w:jc w:val="center"/>
            </w:pPr>
            <w:r>
              <w:rPr>
                <w:rFonts w:ascii="Times New Roman"/>
                <w:sz w:val="24"/>
              </w:rPr>
              <w:t>1,8</w:t>
            </w:r>
          </w:p>
        </w:tc>
        <w:tc>
          <w:tcPr>
            <w:vAlign w:val="center"/>
          </w:tcPr>
          <w:p>
            <w:pPr>
              <w:jc w:val="center"/>
            </w:pPr>
            <w:r>
              <w:rPr>
                <w:rFonts w:ascii="Times New Roman"/>
                <w:sz w:val="24"/>
              </w:rPr>
              <w:t>Сопоставимо</w:t>
            </w:r>
          </w:p>
        </w:tc>
      </w:tr>
      <w:tr>
        <w:tc>
          <w:tcPr>
            <w:vAlign w:val="center"/>
          </w:tcPr>
          <w:p>
            <w:pPr>
              <w:jc w:val="center"/>
            </w:pPr>
            <w:r>
              <w:rPr>
                <w:rFonts w:ascii="Times New Roman"/>
                <w:sz w:val="24"/>
              </w:rPr>
              <w:t>Артропластика (последовательно)</w:t>
            </w:r>
          </w:p>
        </w:tc>
        <w:tc>
          <w:tcPr>
            <w:vAlign w:val="center"/>
          </w:tcPr>
          <w:p>
            <w:pPr>
              <w:jc w:val="center"/>
            </w:pPr>
            <w:r>
              <w:rPr>
                <w:rFonts w:ascii="Times New Roman"/>
                <w:sz w:val="24"/>
              </w:rPr>
              <w:t>Ривароксабан→Аспирин</w:t>
            </w:r>
          </w:p>
        </w:tc>
        <w:tc>
          <w:tcPr>
            <w:vAlign w:val="center"/>
          </w:tcPr>
          <w:p>
            <w:pPr>
              <w:jc w:val="center"/>
            </w:pPr>
            <w:r>
              <w:rPr>
                <w:rFonts w:ascii="Times New Roman"/>
                <w:sz w:val="24"/>
              </w:rPr>
              <w:t>0,64</w:t>
            </w:r>
          </w:p>
        </w:tc>
        <w:tc>
          <w:tcPr>
            <w:vAlign w:val="center"/>
          </w:tcPr>
          <w:p>
            <w:pPr>
              <w:jc w:val="center"/>
            </w:pPr>
            <w:r>
              <w:rPr>
                <w:rFonts w:ascii="Times New Roman"/>
                <w:sz w:val="24"/>
              </w:rPr>
              <w:t>Сопоставимо</w:t>
            </w:r>
          </w:p>
        </w:tc>
      </w:tr>
    </w:tbl>
    <w:p>
      <w:r>
        <w:t/>
      </w:r>
    </w:p>
    <w:p>
      <w:pPr>
        <w:jc w:val="both"/>
        <w:ind w:firstLine="708"/>
        <w:spacing w:line="360" w:lineRule="auto"/>
      </w:pPr>
      <w:r>
        <w:rPr>
          <w:rFonts w:ascii="Times New Roman" w:hAnsi="Times New Roman"/>
          <w:sz w:val="28"/>
        </w:rPr>
        <w:t xml:space="preserve">Индивидуальные характеристики пациентов существенно влияют на результаты антикоагулянтной терапии. При проведении аудита необходимо учитывать факторы, требующие коррекции стандартных протоколов: почечную функцию, массу тела, предшествующие тромботические события, продолжительность постельного режима и необходимость гемотрансфузии</w:t>
      </w:r>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Многофакторный анализ показывает, что возраст пациентов независимо ассоциирован с общей выживаемостью (HR 1,07 на каждый год, 95% ДИ 1,02-1,13, p=0,006), в то время как тип антикоагулянта при правильном назначении не влияет на летальность (скорректированный HR 0,37, 95% ДИ 0,10-1,32, p=0,13)</w:t>
      </w:r>
      <w:hyperlink w:anchor="_Source_13">
        <w:r>
          <w:rPr>
            <w:rFonts w:ascii="Times New Roman" w:hAnsi="Times New Roman"/>
            <w:sz w:val="28"/>
            <w:rStyle w:val="Hyperlink"/>
          </w:rPr>
          <w:t>[13]</w:t>
        </w:r>
      </w:hyperlink>
      <w:r>
        <w:rPr>
          <w:rFonts w:ascii="Times New Roman" w:hAnsi="Times New Roman"/>
          <w:sz w:val="28"/>
        </w:rPr>
        <w:t xml:space="preserve">. Это подчеркивает важность персонализированного подхода с учетом коморбидности и общего состояния пациента.</w:t>
      </w:r>
    </w:p>
    <w:p>
      <w:pPr>
        <w:jc w:val="both"/>
        <w:ind w:firstLine="708"/>
        <w:spacing w:line="360" w:lineRule="auto"/>
      </w:pPr>
      <w:r>
        <w:rPr>
          <w:rFonts w:ascii="Times New Roman" w:hAnsi="Times New Roman"/>
          <w:sz w:val="28"/>
        </w:rPr>
        <w:t xml:space="preserve">Систематический аудит соблюдения протоколов позволяет выявить системные проблемы в организации антикоагулянтной терапии и разработать целенаправленные меры по улучшению качества медицинской помощи. Анализ отклонений и их последствий формирует доказательную базу для оптимизации клинических рекомендаций и обучения медицинского персонала.</w:t>
      </w:r>
    </w:p>
    <w:p>
      <w:r>
        <w:t/>
      </w:r>
    </w:p>
    <w:p>
      <w:pPr>
        <w:pStyle w:val="Heading1"/>
        <w:jc w:val="center"/>
        <w:spacing w:before="240" w:after="240"/>
      </w:pPr>
      <w:r>
        <w:rPr>
          <w:rFonts w:ascii="Times New Roman" w:hAnsi="Times New Roman"/>
          <w:b/>
          <w:sz w:val="28"/>
        </w:rPr>
        <w:t xml:space="preserve">РАЗРАБОТКА МЕРОПРИЯТИЙ ПО СНИЖЕНИЮ ГЕМОРРАГИЧЕСКИХ ОСЛОЖНЕНИЙ</w:t>
      </w:r>
    </w:p>
    <w:p>
      <w:pPr>
        <w:jc w:val="both"/>
        <w:ind w:firstLine="708"/>
        <w:spacing w:line="360" w:lineRule="auto"/>
      </w:pPr>
      <w:r>
        <w:rPr>
          <w:rFonts w:ascii="Times New Roman" w:hAnsi="Times New Roman"/>
          <w:sz w:val="28"/>
        </w:rPr>
        <w:t xml:space="preserve">Геморрагические осложнения представляют собой одну из наиболее серьезных проблем при проведении антикоагулянтной терапии после ортопедических операций. Результаты аудита соблюдения протоколов позволяют выявить ключевые области для улучшения и разработать целенаправленные мероприятия по снижению рисков кровотечений. Эффективная система профилактики должна включать оптимизацию протоколов антикоагулянтной терапии и внедрение персонализированного подхода к оценке рисков у каждого пациента.</w:t>
      </w:r>
    </w:p>
    <w:p>
      <w:pPr>
        <w:jc w:val="both"/>
        <w:ind w:firstLine="708"/>
        <w:spacing w:line="360" w:lineRule="auto"/>
      </w:pPr>
      <w:r>
        <w:rPr>
          <w:rFonts w:ascii="Times New Roman" w:hAnsi="Times New Roman"/>
          <w:sz w:val="28"/>
        </w:rPr>
        <w:t xml:space="preserve">Разработка комплексных мероприятий требует анализа данных о частоте и характере геморрагических осложнений, идентификации факторов риска и создания алгоритмов принятия клинических решений. Современные подходы к профилактике кровотечений основываются на балансе между необходимостью адекватной тромбопрофилактики и минимизацией риска геморрагических событий. Исследования показывают, что использование статинов, таких как аторвастатин, может эффективно снижать частоту тромбоэмболических осложнений без увеличения риска кровотечений</w:t>
      </w:r>
      <w:hyperlink w:anchor="_Source_18">
        <w:r>
          <w:rPr>
            <w:rFonts w:ascii="Times New Roman" w:hAnsi="Times New Roman"/>
            <w:sz w:val="28"/>
            <w:rStyle w:val="Hyperlink"/>
          </w:rPr>
          <w:t>[18]</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Оптимизация протоколов антикоагулянтной терапии на основе результатов аудита</w:t>
      </w:r>
    </w:p>
    <w:p>
      <w:pPr>
        <w:jc w:val="both"/>
        <w:ind w:firstLine="708"/>
        <w:spacing w:line="360" w:lineRule="auto"/>
      </w:pPr>
      <w:r>
        <w:rPr>
          <w:rFonts w:ascii="Times New Roman" w:hAnsi="Times New Roman"/>
          <w:sz w:val="28"/>
        </w:rPr>
        <w:t xml:space="preserve">Оптимизация протоколов антикоагулянтной терапии должна основываться на систематическом анализе результатов аудита и современных клинических рекомендациях. Ключевым аспектом является пересмотр существующих схем назначения антикоагулянтов с учетом выявленных недостатков и особенностей конкретного медицинского учреждения. Данные аудита позволяют идентифицировать критические точки в процессе оказания помощи, где происходят отклонения от протоколов или возникают осложнения.</w:t>
      </w:r>
    </w:p>
    <w:p>
      <w:pPr>
        <w:jc w:val="both"/>
        <w:ind w:firstLine="708"/>
        <w:spacing w:line="360" w:lineRule="auto"/>
      </w:pPr>
      <w:r>
        <w:rPr>
          <w:rFonts w:ascii="Times New Roman" w:hAnsi="Times New Roman"/>
          <w:sz w:val="28"/>
        </w:rPr>
        <w:t xml:space="preserve">Первым этапом оптимизации является анализ частоты и характера геморрагических осложнений в различных группах пациентов. Необходимо оценить связь между типом используемого антикоагулянта, дозировкой, продолжительностью терапии и частотой кровотечений. Результаты такого анализа позволяют выявить препараты или схемы лечения, ассоциированные с повышенным риском осложнений. Исследования демонстрируют, что риварокабан, несмотря на свою эффективность, может быть связан с нежелательными реакциями, включая кровотечения и снижение уровня альбумина</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компонентом оптимизации является стандартизация протоколов назначения антикоагулянтов в зависимости от типа хирургического вмешательства. Для артроскопических операций на ротаторной манжете плеча, тотального эндопротезирования тазобедренного и коленного суставов должны быть разработаны специфические рекомендации, учитывающие особенности каждой процедуры. Данные показывают, что скрытая кровопотеря может составлять значительную долю от общей кровопотери, достигая 78% при артроскопических вмешательствах на плече</w:t>
      </w:r>
      <w:hyperlink w:anchor="_Source_17">
        <w:r>
          <w:rPr>
            <w:rFonts w:ascii="Times New Roman" w:hAnsi="Times New Roman"/>
            <w:sz w:val="28"/>
            <w:rStyle w:val="Hyperlink"/>
          </w:rPr>
          <w:t>[17]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Протоколы должны включать четкие критерии начала антикоагулянтной терапии в послеоперационном периоде. Необходимо определить оптимальное время первой дозы антикоагулянта с учетом риска как тромбоэмболических, так и геморрагических осложнений. Согласно современным рекомендациям, для профилактики венозных тромбоэмболий после крупных ортопедических операций могут использоваться апиксабан, дабигатран, эдоксабан или ривароксабан в течение первых трех месяцев</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Особое внимание следует уделить мониторингу эффективности и безопасности антикоагулянтной терапии. Протоколы должны предусматривать регулярную оценку лабораторных показателей, включая гематокрит и уровень гемоглобина, которые являются важными индикаторами скрытой кровопотери. Исследования показывают, что постоперационный гематокрит является независимым фактором риска скрытой кровопотери</w:t>
      </w:r>
      <w:hyperlink w:anchor="_Source_17">
        <w:r>
          <w:rPr>
            <w:rFonts w:ascii="Times New Roman" w:hAnsi="Times New Roman"/>
            <w:sz w:val="28"/>
            <w:rStyle w:val="Hyperlink"/>
          </w:rPr>
          <w:t>[17]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Оптимизация протоколов должна включать разработку алгоритмов коррекции дозы антикоагулянтов при возникновении признаков кровотечения или при наличии факторов риска. Необходимо установить четкие критерии для временной отмены или снижения дозы препарата, а также условия для возобновления терапии. Протоколы должны предусматривать использование альтернативных методов тромбопрофилактики в случаях высокого риска кровотечений.</w:t>
      </w:r>
    </w:p>
    <w:p>
      <w:pPr>
        <w:jc w:val="both"/>
        <w:ind w:firstLine="708"/>
        <w:spacing w:line="360" w:lineRule="auto"/>
      </w:pPr>
      <w:r>
        <w:rPr>
          <w:rFonts w:ascii="Times New Roman" w:hAnsi="Times New Roman"/>
          <w:sz w:val="28"/>
        </w:rPr>
        <w:t xml:space="preserve">Важным аспектом оптимизации является внедрение мультидисциплинарного подхода к ведению пациентов. Протоколы должны определять роли и ответственность различных специалистов – хирургов-ортопедов, анестезиологов, терапевтов и медицинских сестер – в процессе назначения и мониторинга антикоагулянтной терапии. Необходимо обеспечить эффективную коммуникацию между членами команды и своевременную передачу информации о состоянии пациента.</w:t>
      </w:r>
    </w:p>
    <w:p>
      <w:pPr>
        <w:jc w:val="both"/>
        <w:ind w:firstLine="708"/>
        <w:spacing w:line="360" w:lineRule="auto"/>
      </w:pPr>
      <w:r>
        <w:rPr>
          <w:rFonts w:ascii="Times New Roman" w:hAnsi="Times New Roman"/>
          <w:sz w:val="28"/>
        </w:rPr>
        <w:t xml:space="preserve">Протоколы должны включать образовательные компоненты для медицинского персонала, направленные на повышение осведомленности о рисках геморрагических осложнений и методах их профилактики. Регулярное обучение и тестирование знаний персонала способствуют улучшению соблюдения протоколов и снижению частоты осложнений. Необходимо также разработать информационные материалы для пациентов, объясняющие важность соблюдения режима приема антикоагулянтов и признаки развития осложнений.</w:t>
      </w:r>
    </w:p>
    <w:p>
      <w:pPr>
        <w:jc w:val="both"/>
        <w:ind w:firstLine="708"/>
        <w:spacing w:line="360" w:lineRule="auto"/>
      </w:pPr>
      <w:r>
        <w:rPr>
          <w:rFonts w:ascii="Times New Roman" w:hAnsi="Times New Roman"/>
          <w:sz w:val="28"/>
        </w:rPr>
        <w:t xml:space="preserve">Оптимизированные протоколы должны предусматривать систему документирования и отчетности о всех случаях геморрагических осложнений. Это позволяет проводить регулярный анализ эффективности внедренных мероприятий и вносить необходимые коррективы. Использование электронных медицинских карт и систем поддержки принятия клинических решений может значительно улучшить соблюдение протоколов и своевременное выявление осложнений.</w:t>
      </w:r>
    </w:p>
    <w:p>
      <w:pPr>
        <w:pStyle w:val="Heading2"/>
        <w:spacing w:before="240" w:after="120"/>
      </w:pPr>
      <w:r>
        <w:rPr>
          <w:rFonts w:ascii="Times New Roman" w:hAnsi="Times New Roman"/>
          <w:b/>
          <w:sz w:val="28"/>
        </w:rPr>
        <w:t xml:space="preserve">Система стратификации риска кровотечений у пациентов</w:t>
      </w:r>
    </w:p>
    <w:p>
      <w:pPr>
        <w:jc w:val="both"/>
        <w:ind w:firstLine="708"/>
        <w:spacing w:line="360" w:lineRule="auto"/>
      </w:pPr>
      <w:r>
        <w:rPr>
          <w:rFonts w:ascii="Times New Roman" w:hAnsi="Times New Roman"/>
          <w:sz w:val="28"/>
        </w:rPr>
        <w:t xml:space="preserve">Создание эффективной системы стратификации риска кровотечений является ключевым элементом персонализированного подхода к антикоагулянтной терапии после ортопедических операций. Такая система позволяет идентифицировать пациентов с повышенным риском геморрагических осложнений и адаптировать интенсивность тромбопрофилактики в соответствии с индивидуальным профилем риска. Стратификация должна основываться на комплексной оценке клинических, лабораторных и хирургических факторов риска.</w:t>
      </w:r>
    </w:p>
    <w:p>
      <w:pPr>
        <w:jc w:val="both"/>
        <w:ind w:firstLine="708"/>
        <w:spacing w:line="360" w:lineRule="auto"/>
      </w:pPr>
      <w:r>
        <w:rPr>
          <w:rFonts w:ascii="Times New Roman" w:hAnsi="Times New Roman"/>
          <w:sz w:val="28"/>
        </w:rPr>
        <w:t xml:space="preserve">Основными компонентами системы стратификации являются предоперационная оценка, интраоперационные факторы и постоперационный мониторинг. На предоперационном этапе необходимо собрать полную информацию о сопутствующих заболеваниях, принимаемых медикаментах, предшествующих эпизодах кровотечений и семейном анамнезе. Особое внимание следует уделить наличию артериальной гипертензии, сахарного диабета и гиперлипидемии, которые могут влиять на риск как тромботических, так и геморрагических осложнений</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фактором риска кровотечений является возраст пациента. Исследования показывают, что частота разрывов ротаторной манжеты плеча значительно возрастает с возрастом, достигая 25% у пациентов старше 60 лет и более 45% у лиц старше 70 лет</w:t>
      </w:r>
      <w:hyperlink w:anchor="_Source_17">
        <w:r>
          <w:rPr>
            <w:rFonts w:ascii="Times New Roman" w:hAnsi="Times New Roman"/>
            <w:sz w:val="28"/>
            <w:rStyle w:val="Hyperlink"/>
          </w:rPr>
          <w:t>[17]</w:t>
        </w:r>
      </w:hyperlink>
      <w:r>
        <w:rPr>
          <w:rFonts w:ascii="Times New Roman" w:hAnsi="Times New Roman"/>
          <w:sz w:val="28"/>
        </w:rPr>
        <w:t xml:space="preserve">. Пожилые пациенты также чаще имеют сопутствующие заболевания и принимают множественные медикаменты, что увеличивает риск лекарственных взаимодействий и геморрагических осложнений.</w:t>
      </w:r>
    </w:p>
    <w:p>
      <w:pPr>
        <w:jc w:val="both"/>
        <w:ind w:firstLine="708"/>
        <w:spacing w:line="360" w:lineRule="auto"/>
      </w:pPr>
      <w:r>
        <w:rPr>
          <w:rFonts w:ascii="Times New Roman" w:hAnsi="Times New Roman"/>
          <w:sz w:val="28"/>
        </w:rPr>
        <w:t xml:space="preserve">Система стратификации должна учитывать характеристики хирургического вмешательства. Для артроскопических операций на ротаторной манжете плеча важными факторами являются степень жировой инфильтрации мышц и размер разрыва. Многофакторный регрессионный анализ показал, что постоперационный гематокрит, интраоперационная кровопотеря, степень жировой инфильтрации и размер разрыва являются независимыми факторами риска скрытой кровопотери</w:t>
      </w:r>
      <w:hyperlink w:anchor="_Source_17">
        <w:r>
          <w:rPr>
            <w:rFonts w:ascii="Times New Roman" w:hAnsi="Times New Roman"/>
            <w:sz w:val="28"/>
            <w:rStyle w:val="Hyperlink"/>
          </w:rPr>
          <w:t>[17]</w:t>
        </w:r>
      </w:hyperlink>
      <w:r>
        <w:rPr>
          <w:rFonts w:ascii="Times New Roman" w:hAnsi="Times New Roman"/>
          <w:sz w:val="28"/>
        </w:rPr>
        <w:t xml:space="preserve">. Пациенты с более выраженной жировой инфильтрацией и большими разрывами требуют особого внимания и интенсивного мониторинга.</w:t>
      </w:r>
    </w:p>
    <w:p>
      <w:pPr>
        <w:jc w:val="both"/>
        <w:ind w:firstLine="708"/>
        <w:spacing w:line="360" w:lineRule="auto"/>
      </w:pPr>
      <w:r>
        <w:rPr>
          <w:rFonts w:ascii="Times New Roman" w:hAnsi="Times New Roman"/>
          <w:sz w:val="28"/>
        </w:rPr>
        <w:t xml:space="preserve">Лабораторные показатели играют критическую роль в оценке риска кровотечений. Предоперационная оценка должна включать определение уровня гемоглобина, гематокрита, количества тромбоцитов, протромбинового времени и международного нормализованного отношения. Эти параметры позволяют выявить пациентов с нарушениями системы гемостаза и скорректировать план тромбопрофилактики. Динамический мониторинг гематокрита и гемоглобина в послеоперационном периоде необходим для раннего выявления скрытой кровопотери</w:t>
      </w:r>
      <w:hyperlink w:anchor="_Source_17">
        <w:r>
          <w:rPr>
            <w:rFonts w:ascii="Times New Roman" w:hAnsi="Times New Roman"/>
            <w:sz w:val="28"/>
            <w:rStyle w:val="Hyperlink"/>
          </w:rPr>
          <w:t>[17]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Система стратификации должна включать оценку риска, связанного с типом анестезии. Исследования показывают противоречивые результаты относительно влияния нейроаксиальной анестезии на частоту тромбоэмболических осложнений. Некоторые данные свидетельствуют о том, что спинальная анестезия может быть ассоциирована с повышенным риском венозной тромбоэмболии по сравнению с общей анестезией в сочетании с блокадами периферических нервов</w:t>
      </w:r>
      <w:hyperlink w:anchor="_Source_19">
        <w:r>
          <w:rPr>
            <w:rFonts w:ascii="Times New Roman" w:hAnsi="Times New Roman"/>
            <w:sz w:val="28"/>
            <w:rStyle w:val="Hyperlink"/>
          </w:rPr>
          <w:t>[19]</w:t>
        </w:r>
      </w:hyperlink>
      <w:r>
        <w:rPr>
          <w:rFonts w:ascii="Times New Roman" w:hAnsi="Times New Roman"/>
          <w:sz w:val="28"/>
        </w:rPr>
        <w:t xml:space="preserve">. Это подчеркивает необходимость индивидуального подхода к выбору метода анестезии с учетом риска как тромботических, так и геморрагических осложнений.</w:t>
      </w:r>
    </w:p>
    <w:p>
      <w:pPr>
        <w:jc w:val="both"/>
        <w:ind w:firstLine="708"/>
        <w:spacing w:line="360" w:lineRule="auto"/>
      </w:pPr>
      <w:r>
        <w:rPr>
          <w:rFonts w:ascii="Times New Roman" w:hAnsi="Times New Roman"/>
          <w:sz w:val="28"/>
        </w:rPr>
        <w:t xml:space="preserve">На основе выявленных факторов риска пациенты должны быть разделены на группы низкого, умеренного и высокого риска кровотечений. Для каждой группы разрабатываются специфические рекомендации по выбору антикоагулянта, дозировке, времени начала терапии и интенсивности мониторинга. Пациенты низкого риска могут получать стандартные дозы антикоагулянтов согласно общим протоколам. Для пациентов умеренного риска может потребоваться коррекция дозы или более частый мониторинг лабораторных показателей.</w:t>
      </w:r>
    </w:p>
    <w:p>
      <w:pPr>
        <w:jc w:val="center"/>
        <w:spacing w:after="120"/>
      </w:pPr>
      <w:r>
        <w:rPr>
          <w:rFonts w:ascii="Times New Roman" w:hAnsi="Times New Roman"/>
          <w:sz w:val="24"/>
          <w:b/>
        </w:rPr>
        <w:t>Таблица 13. Стратификация риска геморрагических осложнений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Группа риска</w:t>
            </w:r>
          </w:p>
        </w:tc>
        <w:tc>
          <w:tcPr>
            <w:vAlign w:val="center"/>
          </w:tcPr>
          <w:p>
            <w:pPr>
              <w:jc w:val="center"/>
            </w:pPr>
            <w:r>
              <w:rPr>
                <w:rFonts w:ascii="Times New Roman"/>
                <w:sz w:val="24"/>
                <w:b/>
              </w:rPr>
              <w:t>Характеристики пациентов</w:t>
            </w:r>
          </w:p>
        </w:tc>
        <w:tc>
          <w:tcPr>
            <w:vAlign w:val="center"/>
          </w:tcPr>
          <w:p>
            <w:pPr>
              <w:jc w:val="center"/>
            </w:pPr>
            <w:r>
              <w:rPr>
                <w:rFonts w:ascii="Times New Roman"/>
                <w:sz w:val="24"/>
                <w:b/>
              </w:rPr>
              <w:t>Рекомендации по терапии</w:t>
            </w:r>
          </w:p>
        </w:tc>
      </w:tr>
      <w:tr>
        <w:tc>
          <w:tcPr>
            <w:vAlign w:val="center"/>
          </w:tcPr>
          <w:p>
            <w:pPr>
              <w:jc w:val="center"/>
            </w:pPr>
            <w:r>
              <w:rPr>
                <w:rFonts w:ascii="Times New Roman"/>
                <w:sz w:val="24"/>
              </w:rPr>
              <w:t>Низкий риск</w:t>
            </w:r>
          </w:p>
        </w:tc>
        <w:tc>
          <w:tcPr>
            <w:vAlign w:val="center"/>
          </w:tcPr>
          <w:p>
            <w:pPr>
              <w:jc w:val="center"/>
            </w:pPr>
            <w:r>
              <w:rPr>
                <w:rFonts w:ascii="Times New Roman"/>
                <w:sz w:val="24"/>
              </w:rPr>
              <w:t>Возраст &lt;60 лет, отсутствие сопутствующих заболеваний, малые разрывы, нормальные показатели гемостаза</w:t>
            </w:r>
          </w:p>
        </w:tc>
        <w:tc>
          <w:tcPr>
            <w:vAlign w:val="center"/>
          </w:tcPr>
          <w:p>
            <w:pPr>
              <w:jc w:val="center"/>
            </w:pPr>
            <w:r>
              <w:rPr>
                <w:rFonts w:ascii="Times New Roman"/>
                <w:sz w:val="24"/>
              </w:rPr>
              <w:t>Стандартная антикоагулянтная терапия, рутинный мониторинг</w:t>
            </w:r>
          </w:p>
        </w:tc>
      </w:tr>
      <w:tr>
        <w:tc>
          <w:tcPr>
            <w:vAlign w:val="center"/>
          </w:tcPr>
          <w:p>
            <w:pPr>
              <w:jc w:val="center"/>
            </w:pPr>
            <w:r>
              <w:rPr>
                <w:rFonts w:ascii="Times New Roman"/>
                <w:sz w:val="24"/>
              </w:rPr>
              <w:t>Умеренный риск</w:t>
            </w:r>
          </w:p>
        </w:tc>
        <w:tc>
          <w:tcPr>
            <w:vAlign w:val="center"/>
          </w:tcPr>
          <w:p>
            <w:pPr>
              <w:jc w:val="center"/>
            </w:pPr>
            <w:r>
              <w:rPr>
                <w:rFonts w:ascii="Times New Roman"/>
                <w:sz w:val="24"/>
              </w:rPr>
              <w:t>Возраст 60-70 лет, 1-2 сопутствующих заболевания, средние разрывы, легкие отклонения в показателях гемостаза</w:t>
            </w:r>
          </w:p>
        </w:tc>
        <w:tc>
          <w:tcPr>
            <w:vAlign w:val="center"/>
          </w:tcPr>
          <w:p>
            <w:pPr>
              <w:jc w:val="center"/>
            </w:pPr>
            <w:r>
              <w:rPr>
                <w:rFonts w:ascii="Times New Roman"/>
                <w:sz w:val="24"/>
              </w:rPr>
              <w:t>Коррекция дозы при необходимости, усиленный мониторинг каждые 1-3 дня</w:t>
            </w:r>
          </w:p>
        </w:tc>
      </w:tr>
      <w:tr>
        <w:tc>
          <w:tcPr>
            <w:vAlign w:val="center"/>
          </w:tcPr>
          <w:p>
            <w:pPr>
              <w:jc w:val="center"/>
            </w:pPr>
            <w:r>
              <w:rPr>
                <w:rFonts w:ascii="Times New Roman"/>
                <w:sz w:val="24"/>
              </w:rPr>
              <w:t>Высокий риск</w:t>
            </w:r>
          </w:p>
        </w:tc>
        <w:tc>
          <w:tcPr>
            <w:vAlign w:val="center"/>
          </w:tcPr>
          <w:p>
            <w:pPr>
              <w:jc w:val="center"/>
            </w:pPr>
            <w:r>
              <w:rPr>
                <w:rFonts w:ascii="Times New Roman"/>
                <w:sz w:val="24"/>
              </w:rPr>
              <w:t>Возраст &gt;70 лет, множественные сопутствующие заболевания, большие/массивные разрывы, выраженная жировая инфильтрация, нарушения гемостаза</w:t>
            </w:r>
          </w:p>
        </w:tc>
        <w:tc>
          <w:tcPr>
            <w:vAlign w:val="center"/>
          </w:tcPr>
          <w:p>
            <w:pPr>
              <w:jc w:val="center"/>
            </w:pPr>
            <w:r>
              <w:rPr>
                <w:rFonts w:ascii="Times New Roman"/>
                <w:sz w:val="24"/>
              </w:rPr>
              <w:t>Альтернативные методы профилактики, ежедневный мониторинг, возможное снижение дозы</w:t>
            </w:r>
          </w:p>
        </w:tc>
      </w:tr>
    </w:tbl>
    <w:p>
      <w:r>
        <w:t/>
      </w:r>
    </w:p>
    <w:p>
      <w:pPr>
        <w:jc w:val="both"/>
        <w:ind w:firstLine="708"/>
        <w:spacing w:line="360" w:lineRule="auto"/>
      </w:pPr>
      <w:r>
        <w:rPr>
          <w:rFonts w:ascii="Times New Roman" w:hAnsi="Times New Roman"/>
          <w:sz w:val="28"/>
        </w:rPr>
        <w:t xml:space="preserve">Пациенты высокого риска требуют особого внимания и могут нуждаться в альтернативных методах тромбопрофилактики. Для таких пациентов может быть рассмотрено использование механических методов профилактики, таких как компрессионные чулки или устройства прерывистой пневматической компрессии, в качестве альтернативы или дополнения к фармакологической профилактике. Исследования показывают, что использование аторвастатина может быть эффективной альтернативой для снижения риска венозной тромбоэмболии без увеличения частоты кровотечений</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Система стратификации должна быть динамической и предусматривать переоценку риска в течение послеоперационного периода. Появление новых факторов риска, таких как послеоперационная инфекция, кровотечение из раны или изменения в лабораторных показателях, должно приводить к пересмотру категории риска и коррекции плана лечения. Регулярные оценки позволяют своевременно выявлять пациентов, нуждающихся в интенсификации или, наоборот, ослаблении антикоагулянтной терапии.</w:t>
      </w:r>
    </w:p>
    <w:p>
      <w:pPr>
        <w:jc w:val="both"/>
        <w:ind w:firstLine="708"/>
        <w:spacing w:line="360" w:lineRule="auto"/>
      </w:pPr>
      <w:r>
        <w:rPr>
          <w:rFonts w:ascii="Times New Roman" w:hAnsi="Times New Roman"/>
          <w:sz w:val="28"/>
        </w:rPr>
        <w:t xml:space="preserve">Внедрение системы стратификации риска требует использования стандартизированных инструментов оценки и документирования. Разработка специальных форм или электронных чек-листов облегчает процесс сбора необходимой информации и расчета индивидуального риска. Интеграция системы стратификации в электронные медицинские карты позволяет автоматизировать процесс оценки риска и генерировать персонализированные рекомендации по антикоагулянтной терапии.</w:t>
      </w:r>
    </w:p>
    <w:p>
      <w:pPr>
        <w:jc w:val="both"/>
        <w:ind w:firstLine="708"/>
        <w:spacing w:line="360" w:lineRule="auto"/>
      </w:pPr>
      <w:r>
        <w:rPr>
          <w:rFonts w:ascii="Times New Roman" w:hAnsi="Times New Roman"/>
          <w:sz w:val="28"/>
        </w:rPr>
        <w:t xml:space="preserve">Эффективность системы стратификации должна регулярно оцениваться путем анализа частоты геморрагических и тромбоэмболических осложнений в различных группах риска. Это позволяет валидировать используемые критерии стратификации и вносить необходимые коррективы для улучшения прогностической точности. Непрерывное совершенствование системы на основе накопленного клинического опыта и новых научных данных является ключом к оптимальному балансу между эффективностью тромбопрофилактики и безопасностью пациентов.</w:t>
      </w:r>
    </w:p>
    <w:p>
      <w:pPr>
        <w:jc w:val="both"/>
        <w:ind w:firstLine="708"/>
        <w:spacing w:line="360" w:lineRule="auto"/>
      </w:pPr>
      <w:r>
        <w:rPr>
          <w:rFonts w:ascii="Times New Roman" w:hAnsi="Times New Roman"/>
          <w:sz w:val="28"/>
        </w:rPr>
        <w:t xml:space="preserve">Геморрагические осложнения представляют собой одну из наиболее серьезных проблем при проведении антикоагулянтной терапии после ортопедических операций. Современные данные свидетельствуют о том, что частота кровотечений при использовании антикоагулянтов может достигать 4-14% в зависимости от типа вмешательства и применяемого препарата</w:t>
      </w:r>
      <w:hyperlink w:anchor="_Source_18">
        <w:r>
          <w:rPr>
            <w:rFonts w:ascii="Times New Roman" w:hAnsi="Times New Roman"/>
            <w:sz w:val="28"/>
            <w:rStyle w:val="Hyperlink"/>
          </w:rPr>
          <w:t>[18]</w:t>
        </w:r>
      </w:hyperlink>
      <w:r>
        <w:rPr>
          <w:rFonts w:ascii="Times New Roman" w:hAnsi="Times New Roman"/>
          <w:sz w:val="28"/>
        </w:rPr>
        <w:t xml:space="preserve">. Разработка комплексных мероприятий по снижению геморрагических осложнений требует системного подхода, включающего образовательные программы для медицинского персонала, внедрение четких алгоритмов мониторинга и создание эффективной системы контроля качества. Особое внимание необходимо уделять индивидуализации терапии с учетом факторов риска кровотечений, таких как сопутствующие заболевания, возраст пациента и характер хирургического вмешательства.</w:t>
      </w:r>
    </w:p>
    <w:p>
      <w:pPr>
        <w:pStyle w:val="Heading2"/>
        <w:spacing w:before="240" w:after="120"/>
      </w:pPr>
      <w:r>
        <w:rPr>
          <w:rFonts w:ascii="Times New Roman" w:hAnsi="Times New Roman"/>
          <w:b/>
          <w:sz w:val="28"/>
        </w:rPr>
        <w:t xml:space="preserve">Образовательные программы для медицинского персонала</w:t>
      </w:r>
    </w:p>
    <w:p>
      <w:pPr>
        <w:jc w:val="both"/>
        <w:ind w:firstLine="708"/>
        <w:spacing w:line="360" w:lineRule="auto"/>
      </w:pPr>
      <w:r>
        <w:rPr>
          <w:rFonts w:ascii="Times New Roman" w:hAnsi="Times New Roman"/>
          <w:sz w:val="28"/>
        </w:rPr>
        <w:t xml:space="preserve">Образовательные программы для медицинского персонала являются фундаментальным элементом системы профилактики геморрагических осложнений. Эффективность антикоагулянтной терапии напрямую зависит от компетентности специалистов, осуществляющих назначение, мониторинг и коррекцию лечения. Программа обучения должна охватывать все категории медицинских работников, участвующих в ведении пациентов после ортопедических операций, включая хирургов-ортопедов, анестезиологов, терапевтов, медицинских сестер и фармацевтов.</w:t>
      </w:r>
    </w:p>
    <w:p>
      <w:pPr>
        <w:jc w:val="both"/>
        <w:ind w:firstLine="708"/>
        <w:spacing w:line="360" w:lineRule="auto"/>
      </w:pPr>
      <w:r>
        <w:rPr>
          <w:rFonts w:ascii="Times New Roman" w:hAnsi="Times New Roman"/>
          <w:sz w:val="28"/>
        </w:rPr>
        <w:t xml:space="preserve">Структура образовательной программы должна включать теоретическую подготовку по фармакологии антикоагулянтов, механизмам их действия и особенностям применения различных препаратов. Необходимо уделить внимание изучению факторов риска кровотечений и тромбоэмболических осложнений, методам их оценки и стратификации пациентов по группам риска. Практический блок программы должен включать отработку навыков расчета доз препаратов с учетом массы тела, функции почек и других клинических параметров, а также алгоритмов действий при развитии осложнений.</w:t>
      </w:r>
    </w:p>
    <w:p>
      <w:pPr>
        <w:jc w:val="both"/>
        <w:ind w:firstLine="708"/>
        <w:spacing w:line="360" w:lineRule="auto"/>
      </w:pPr>
      <w:r>
        <w:rPr>
          <w:rFonts w:ascii="Times New Roman" w:hAnsi="Times New Roman"/>
          <w:sz w:val="28"/>
        </w:rPr>
        <w:t xml:space="preserve">Особое значение имеет обучение персонала распознаванию ранних признаков геморрагических осложнений. Медицинские работники должны быть способны идентифицировать как явные кровотечения (гематомы в области послеоперационной раны, носовые кровотечения, гематурия), так и скрытую кровопотерю, которая может составлять значительную долю от общей кровопотери. Исследования показывают, что скрытая кровопотеря при артроскопических операциях на ротаторной манжете может достигать 78% от общей кровопотери, что подчеркивает важность ее своевременного выявления</w:t>
      </w:r>
      <w:hyperlink w:anchor="_Source_17">
        <w:r>
          <w:rPr>
            <w:rFonts w:ascii="Times New Roman" w:hAnsi="Times New Roman"/>
            <w:sz w:val="28"/>
            <w:rStyle w:val="Hyperlink"/>
          </w:rPr>
          <w:t>[17]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Программа должна включать модули по взаимодействию антикоагулянтов с другими лекарственными средствами, что особенно актуально для пациентов с сопутствующей патологией. Необходимо обучать персонал принципам безопасного перехода с одного антикоагулянта на другой, правилам временной отмены препаратов перед инвазивными процедурами и возобновления терапии после них. Важным компонентом является изучение методов купирования кровотечений, включая применение специфических антидотов и гемостатических средств.</w:t>
      </w:r>
    </w:p>
    <w:p>
      <w:pPr>
        <w:jc w:val="both"/>
        <w:ind w:firstLine="708"/>
        <w:spacing w:line="360" w:lineRule="auto"/>
      </w:pPr>
      <w:r>
        <w:rPr>
          <w:rFonts w:ascii="Times New Roman" w:hAnsi="Times New Roman"/>
          <w:sz w:val="28"/>
        </w:rPr>
        <w:t xml:space="preserve">Для врачей-ортопедов образовательная программа должна акцентировать внимание на хирургических аспектах профилактики кровотечений. Это включает технику минимально инвазивных вмешательств, применение современных методов гемостаза, использование транексамовой кислоты и других антифибринолитических средств. Медицинские сестры должны быть обучены правилам введения антикоагулянтов, контролю за соблюдением пациентами режима приема препаратов и выявлению побочных эффектов терапии.</w:t>
      </w:r>
    </w:p>
    <w:p>
      <w:pPr>
        <w:jc w:val="both"/>
        <w:ind w:firstLine="708"/>
        <w:spacing w:line="360" w:lineRule="auto"/>
      </w:pPr>
      <w:r>
        <w:rPr>
          <w:rFonts w:ascii="Times New Roman" w:hAnsi="Times New Roman"/>
          <w:sz w:val="28"/>
        </w:rPr>
        <w:t xml:space="preserve">Регулярное обновление знаний персонала должно осуществляться через систему непрерывного медицинского образования. Рекомендуется проведение ежеквартальных семинаров, разбор клинических случаев, включая анализ осложнений и ошибок в ведении пациентов. Эффективным инструментом являются симуляционные тренинги, позволяющие отрабатывать навыки в условиях, максимально приближенных к реальной клинической практике. Необходимо создание электронных образовательных ресурсов, включающих видеолекции, интерактивные модули и тестовые задания для самоконтроля.</w:t>
      </w:r>
    </w:p>
    <w:p>
      <w:pPr>
        <w:jc w:val="both"/>
        <w:ind w:firstLine="708"/>
        <w:spacing w:line="360" w:lineRule="auto"/>
      </w:pPr>
      <w:r>
        <w:rPr>
          <w:rFonts w:ascii="Times New Roman" w:hAnsi="Times New Roman"/>
          <w:sz w:val="28"/>
        </w:rPr>
        <w:t xml:space="preserve">Оценка эффективности образовательных программ должна проводиться на основе объективных показателей, таких как результаты тестирования знаний, частота ошибок в назначении и мониторинге антикоагулянтной терапии, динамика геморрагических осложнений. Важно обеспечить обратную связь от участников программы для постоянного совершенствования образовательного процесса и адаптации содержания к актуальным потребностям клинической практики.</w:t>
      </w:r>
    </w:p>
    <w:p>
      <w:pPr>
        <w:pStyle w:val="Heading2"/>
        <w:spacing w:before="240" w:after="120"/>
      </w:pPr>
      <w:r>
        <w:rPr>
          <w:rFonts w:ascii="Times New Roman" w:hAnsi="Times New Roman"/>
          <w:b/>
          <w:sz w:val="28"/>
        </w:rPr>
        <w:t xml:space="preserve">Алгоритмы мониторинга и коррекции антикоагулянтной терапии</w:t>
      </w:r>
    </w:p>
    <w:p>
      <w:pPr>
        <w:jc w:val="both"/>
        <w:ind w:firstLine="708"/>
        <w:spacing w:line="360" w:lineRule="auto"/>
      </w:pPr>
      <w:r>
        <w:rPr>
          <w:rFonts w:ascii="Times New Roman" w:hAnsi="Times New Roman"/>
          <w:sz w:val="28"/>
        </w:rPr>
        <w:t xml:space="preserve">Разработка и внедрение четких алгоритмов мониторинга и коррекции антикоагулянтной терапии является ключевым элементом обеспечения безопасности пациентов после ортопедических операций. Систематический подход к мониторингу позволяет своевременно выявлять отклонения от целевых параметров терапии и предотвращать развитие геморрагических осложнений. Алгоритмы должны быть стандартизированы, но в то же время достаточно гибкими для учета индивидуальных особенностей пациентов.</w:t>
      </w:r>
    </w:p>
    <w:p>
      <w:pPr>
        <w:jc w:val="both"/>
        <w:ind w:firstLine="708"/>
        <w:spacing w:line="360" w:lineRule="auto"/>
      </w:pPr>
      <w:r>
        <w:rPr>
          <w:rFonts w:ascii="Times New Roman" w:hAnsi="Times New Roman"/>
          <w:sz w:val="28"/>
        </w:rPr>
        <w:t xml:space="preserve">Предоперационная оценка риска кровотечений должна включать тщательный сбор анамнеза с выявлением эпизодов патологической кровоточивости в прошлом, приема антитромботических и нестероидных противовоспалительных препаратов, наличия заболеваний печени и почек. Лабораторный скрининг должен включать определение общего анализа крови с подсчетом тромбоцитов, коагулограммы, оценку функции почек и печени. Особое внимание следует уделять пациентам, принимающим статины, поскольку эти препараты могут влиять на риск венозных тромбоэмболических осложнений</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Алгоритм послеоперационного мониторинга должен предусматривать регулярную оценку гемодинамических показателей, уровня гемоглобина и гематокрита. Исследования показывают, что снижение гематокрита является важным индикатором кровопотери, особенно скрытой</w:t>
      </w:r>
      <w:hyperlink w:anchor="_Source_17">
        <w:r>
          <w:rPr>
            <w:rFonts w:ascii="Times New Roman" w:hAnsi="Times New Roman"/>
            <w:sz w:val="28"/>
            <w:rStyle w:val="Hyperlink"/>
          </w:rPr>
          <w:t>[17]</w:t>
        </w:r>
      </w:hyperlink>
      <w:r>
        <w:rPr>
          <w:rFonts w:ascii="Times New Roman" w:hAnsi="Times New Roman"/>
          <w:sz w:val="28"/>
        </w:rPr>
        <w:t xml:space="preserve">. Рекомендуется проведение лабораторного контроля на 1-е, 3-и, 7-е и 14-е сутки после операции для динамической оценки показателей крови</w:t>
      </w:r>
      <w:hyperlink w:anchor="_Source_18">
        <w:r>
          <w:rPr>
            <w:rFonts w:ascii="Times New Roman" w:hAnsi="Times New Roman"/>
            <w:sz w:val="28"/>
            <w:rStyle w:val="Hyperlink"/>
          </w:rPr>
          <w:t>[18]</w:t>
        </w:r>
      </w:hyperlink>
      <w:r>
        <w:rPr>
          <w:rFonts w:ascii="Times New Roman" w:hAnsi="Times New Roman"/>
          <w:sz w:val="28"/>
        </w:rPr>
        <w:t xml:space="preserve">. Снижение уровня гемоглобина и гематокрита может свидетельствовать о продолжающейся кровопотере и требует коррекции антикоагулянтной терапии.</w:t>
      </w:r>
    </w:p>
    <w:p>
      <w:pPr>
        <w:jc w:val="both"/>
        <w:ind w:firstLine="708"/>
        <w:spacing w:line="360" w:lineRule="auto"/>
      </w:pPr>
      <w:r>
        <w:rPr>
          <w:rFonts w:ascii="Times New Roman" w:hAnsi="Times New Roman"/>
          <w:sz w:val="28"/>
        </w:rPr>
        <w:t xml:space="preserve">Клинический мониторинг должен включать ежедневный осмотр послеоперационной раны с оценкой ее состояния, наличия гематом, отека и признаков кровотечения. Необходим контроль объема отделяемого по дренажам, оценка цвета мочи для выявления гематурии, мониторинг артериального давления и частоты пульса как косвенных признаков кровопотери. Пациенты должны быть проинформированы о необходимости незамедлительного сообщения медицинскому персоналу о появлении носовых кровотечений, кровоточивости десен, появлении синяков или других признаков повышенной кровоточивости.</w:t>
      </w:r>
    </w:p>
    <w:p>
      <w:pPr>
        <w:jc w:val="both"/>
        <w:ind w:firstLine="708"/>
        <w:spacing w:line="360" w:lineRule="auto"/>
      </w:pPr>
      <w:r>
        <w:rPr>
          <w:rFonts w:ascii="Times New Roman" w:hAnsi="Times New Roman"/>
          <w:sz w:val="28"/>
        </w:rPr>
        <w:t xml:space="preserve">Алгоритм коррекции антикоагулянтной терапии должен основываться на оценке соотношения риска кровотечений и тромбоэмболических осложнений. При незначительном кровотечении (небольшие гематомы, минимальное отделяемое по дренажу) может быть достаточно временного снижения дозы антикоагулянта или увеличения интервала между введениями. При умеренном кровотечении рекомендуется временная отмена препарата с возобновлением терапии после достижения гемостаза. Тяжелые кровотечения требуют немедленной отмены антикоагулянта и применения специфических антидотов.</w:t>
      </w:r>
    </w:p>
    <w:p>
      <w:pPr>
        <w:jc w:val="both"/>
        <w:ind w:firstLine="708"/>
        <w:spacing w:line="360" w:lineRule="auto"/>
      </w:pPr>
      <w:r>
        <w:rPr>
          <w:rFonts w:ascii="Times New Roman" w:hAnsi="Times New Roman"/>
          <w:sz w:val="28"/>
        </w:rPr>
        <w:t xml:space="preserve">Для различных типов антикоагулянтов должны быть разработаны специфические протоколы коррекции. При использовании низкомолекулярных гепаринов при развитии кровотечения может потребоваться введение протамина сульфата. Для новых пероральных антикоагулянтов (ривароксабан, апиксабан) существуют специфические антидоты, применение которых должно быть регламентировано четкими показаниями. Важно учитывать фармакокинетические особенности препаратов, период полувыведения и влияние функции почек на их элиминацию.</w:t>
      </w:r>
    </w:p>
    <w:p>
      <w:pPr>
        <w:jc w:val="both"/>
        <w:ind w:firstLine="708"/>
        <w:spacing w:line="360" w:lineRule="auto"/>
      </w:pPr>
      <w:r>
        <w:rPr>
          <w:rFonts w:ascii="Times New Roman" w:hAnsi="Times New Roman"/>
          <w:sz w:val="28"/>
        </w:rPr>
        <w:t xml:space="preserve">Особое внимание следует уделять пациентам с факторами риска кровотечений. К ним относятся пожилой возраст (старше 75 лет), низкая масса тела (менее 50 кг), почечная недостаточность, печеночная недостаточность, анамнез желудочно-кишечных кровотечений, сопутствующий прием антиагрегантов или нестероидных противовоспалительных препаратов. Для таких пациентов может потребоваться снижение стандартных доз антикоагулянтов или выбор альтернативных методов профилактики тромбоэмболических осложнений, таких как механическая компрессия.</w:t>
      </w:r>
    </w:p>
    <w:p>
      <w:pPr>
        <w:jc w:val="center"/>
        <w:spacing w:after="120"/>
      </w:pPr>
      <w:r>
        <w:rPr>
          <w:rFonts w:ascii="Times New Roman" w:hAnsi="Times New Roman"/>
          <w:sz w:val="24"/>
          <w:b/>
        </w:rPr>
        <w:t>Таблица 14. Алгоритм мониторинга показателей крови после ортопедических операций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Показатель</w:t>
            </w:r>
          </w:p>
        </w:tc>
        <w:tc>
          <w:tcPr>
            <w:vAlign w:val="center"/>
          </w:tcPr>
          <w:p>
            <w:pPr>
              <w:jc w:val="center"/>
            </w:pPr>
            <w:r>
              <w:rPr>
                <w:rFonts w:ascii="Times New Roman"/>
                <w:sz w:val="24"/>
                <w:b/>
              </w:rPr>
              <w:t>Сроки контроля</w:t>
            </w:r>
          </w:p>
        </w:tc>
        <w:tc>
          <w:tcPr>
            <w:vAlign w:val="center"/>
          </w:tcPr>
          <w:p>
            <w:pPr>
              <w:jc w:val="center"/>
            </w:pPr>
            <w:r>
              <w:rPr>
                <w:rFonts w:ascii="Times New Roman"/>
                <w:sz w:val="24"/>
                <w:b/>
              </w:rPr>
              <w:t>Критические значения</w:t>
            </w:r>
          </w:p>
        </w:tc>
        <w:tc>
          <w:tcPr>
            <w:vAlign w:val="center"/>
          </w:tcPr>
          <w:p>
            <w:pPr>
              <w:jc w:val="center"/>
            </w:pPr>
            <w:r>
              <w:rPr>
                <w:rFonts w:ascii="Times New Roman"/>
                <w:sz w:val="24"/>
                <w:b/>
              </w:rPr>
              <w:t>Действия</w:t>
            </w:r>
          </w:p>
        </w:tc>
      </w:tr>
      <w:tr>
        <w:tc>
          <w:tcPr>
            <w:vAlign w:val="center"/>
          </w:tcPr>
          <w:p>
            <w:pPr>
              <w:jc w:val="center"/>
            </w:pPr>
            <w:r>
              <w:rPr>
                <w:rFonts w:ascii="Times New Roman"/>
                <w:sz w:val="24"/>
              </w:rPr>
              <w:t>Гемоглобин</w:t>
            </w:r>
          </w:p>
        </w:tc>
        <w:tc>
          <w:tcPr>
            <w:vAlign w:val="center"/>
          </w:tcPr>
          <w:p>
            <w:pPr>
              <w:jc w:val="center"/>
            </w:pPr>
            <w:r>
              <w:rPr>
                <w:rFonts w:ascii="Times New Roman"/>
                <w:sz w:val="24"/>
              </w:rPr>
              <w:t>1, 3, 7, 14 сутки</w:t>
            </w:r>
          </w:p>
        </w:tc>
        <w:tc>
          <w:tcPr>
            <w:vAlign w:val="center"/>
          </w:tcPr>
          <w:p>
            <w:pPr>
              <w:jc w:val="center"/>
            </w:pPr>
            <w:r>
              <w:rPr>
                <w:rFonts w:ascii="Times New Roman"/>
                <w:sz w:val="24"/>
              </w:rPr>
              <w:t>Снижение &gt;20 г/л</w:t>
            </w:r>
          </w:p>
        </w:tc>
        <w:tc>
          <w:tcPr>
            <w:vAlign w:val="center"/>
          </w:tcPr>
          <w:p>
            <w:pPr>
              <w:jc w:val="center"/>
            </w:pPr>
            <w:r>
              <w:rPr>
                <w:rFonts w:ascii="Times New Roman"/>
                <w:sz w:val="24"/>
              </w:rPr>
              <w:t>Оценка источника кровопотери, коррекция терапии</w:t>
            </w:r>
          </w:p>
        </w:tc>
      </w:tr>
      <w:tr>
        <w:tc>
          <w:tcPr>
            <w:vAlign w:val="center"/>
          </w:tcPr>
          <w:p>
            <w:pPr>
              <w:jc w:val="center"/>
            </w:pPr>
            <w:r>
              <w:rPr>
                <w:rFonts w:ascii="Times New Roman"/>
                <w:sz w:val="24"/>
              </w:rPr>
              <w:t>Гематокрит</w:t>
            </w:r>
          </w:p>
        </w:tc>
        <w:tc>
          <w:tcPr>
            <w:vAlign w:val="center"/>
          </w:tcPr>
          <w:p>
            <w:pPr>
              <w:jc w:val="center"/>
            </w:pPr>
            <w:r>
              <w:rPr>
                <w:rFonts w:ascii="Times New Roman"/>
                <w:sz w:val="24"/>
              </w:rPr>
              <w:t>1, 3, 7, 14 сутки</w:t>
            </w:r>
          </w:p>
        </w:tc>
        <w:tc>
          <w:tcPr>
            <w:vAlign w:val="center"/>
          </w:tcPr>
          <w:p>
            <w:pPr>
              <w:jc w:val="center"/>
            </w:pPr>
            <w:r>
              <w:rPr>
                <w:rFonts w:ascii="Times New Roman"/>
                <w:sz w:val="24"/>
              </w:rPr>
              <w:t>Снижение &gt;6%</w:t>
            </w:r>
          </w:p>
        </w:tc>
        <w:tc>
          <w:tcPr>
            <w:vAlign w:val="center"/>
          </w:tcPr>
          <w:p>
            <w:pPr>
              <w:jc w:val="center"/>
            </w:pPr>
            <w:r>
              <w:rPr>
                <w:rFonts w:ascii="Times New Roman"/>
                <w:sz w:val="24"/>
              </w:rPr>
              <w:t>Рассмотреть временную отмену антикоагулянта</w:t>
            </w:r>
          </w:p>
        </w:tc>
      </w:tr>
      <w:tr>
        <w:tc>
          <w:tcPr>
            <w:vAlign w:val="center"/>
          </w:tcPr>
          <w:p>
            <w:pPr>
              <w:jc w:val="center"/>
            </w:pPr>
            <w:r>
              <w:rPr>
                <w:rFonts w:ascii="Times New Roman"/>
                <w:sz w:val="24"/>
              </w:rPr>
              <w:t>Тромбоциты</w:t>
            </w:r>
          </w:p>
        </w:tc>
        <w:tc>
          <w:tcPr>
            <w:vAlign w:val="center"/>
          </w:tcPr>
          <w:p>
            <w:pPr>
              <w:jc w:val="center"/>
            </w:pPr>
            <w:r>
              <w:rPr>
                <w:rFonts w:ascii="Times New Roman"/>
                <w:sz w:val="24"/>
              </w:rPr>
              <w:t>До операции, 3, 7 сутки</w:t>
            </w:r>
          </w:p>
        </w:tc>
        <w:tc>
          <w:tcPr>
            <w:vAlign w:val="center"/>
          </w:tcPr>
          <w:p>
            <w:pPr>
              <w:jc w:val="center"/>
            </w:pPr>
            <w:r>
              <w:rPr>
                <w:rFonts w:ascii="Times New Roman"/>
                <w:sz w:val="24"/>
              </w:rPr>
              <w:t>&lt;100×10⁹/л</w:t>
            </w:r>
          </w:p>
        </w:tc>
        <w:tc>
          <w:tcPr>
            <w:vAlign w:val="center"/>
          </w:tcPr>
          <w:p>
            <w:pPr>
              <w:jc w:val="center"/>
            </w:pPr>
            <w:r>
              <w:rPr>
                <w:rFonts w:ascii="Times New Roman"/>
                <w:sz w:val="24"/>
              </w:rPr>
              <w:t>Консультация гематолога, коррекция дозы</w:t>
            </w:r>
          </w:p>
        </w:tc>
      </w:tr>
      <w:tr>
        <w:tc>
          <w:tcPr>
            <w:vAlign w:val="center"/>
          </w:tcPr>
          <w:p>
            <w:pPr>
              <w:jc w:val="center"/>
            </w:pPr>
            <w:r>
              <w:rPr>
                <w:rFonts w:ascii="Times New Roman"/>
                <w:sz w:val="24"/>
              </w:rPr>
              <w:t>Креатинин</w:t>
            </w:r>
          </w:p>
        </w:tc>
        <w:tc>
          <w:tcPr>
            <w:vAlign w:val="center"/>
          </w:tcPr>
          <w:p>
            <w:pPr>
              <w:jc w:val="center"/>
            </w:pPr>
            <w:r>
              <w:rPr>
                <w:rFonts w:ascii="Times New Roman"/>
                <w:sz w:val="24"/>
              </w:rPr>
              <w:t>До операции, 3, 7 сутки</w:t>
            </w:r>
          </w:p>
        </w:tc>
        <w:tc>
          <w:tcPr>
            <w:vAlign w:val="center"/>
          </w:tcPr>
          <w:p>
            <w:pPr>
              <w:jc w:val="center"/>
            </w:pPr>
            <w:r>
              <w:rPr>
                <w:rFonts w:ascii="Times New Roman"/>
                <w:sz w:val="24"/>
              </w:rPr>
              <w:t>Повышение &gt;50%</w:t>
            </w:r>
          </w:p>
        </w:tc>
        <w:tc>
          <w:tcPr>
            <w:vAlign w:val="center"/>
          </w:tcPr>
          <w:p>
            <w:pPr>
              <w:jc w:val="center"/>
            </w:pPr>
            <w:r>
              <w:rPr>
                <w:rFonts w:ascii="Times New Roman"/>
                <w:sz w:val="24"/>
              </w:rPr>
              <w:t>Коррекция дозы с учетом функции почек</w:t>
            </w:r>
          </w:p>
        </w:tc>
      </w:tr>
    </w:tbl>
    <w:p>
      <w:r>
        <w:t/>
      </w:r>
    </w:p>
    <w:p>
      <w:pPr>
        <w:jc w:val="both"/>
        <w:ind w:firstLine="708"/>
        <w:spacing w:line="360" w:lineRule="auto"/>
      </w:pPr>
      <w:r>
        <w:rPr>
          <w:rFonts w:ascii="Times New Roman" w:hAnsi="Times New Roman"/>
          <w:sz w:val="28"/>
        </w:rPr>
        <w:t xml:space="preserve">Алгоритмы должны предусматривать междисциплинарное взаимодействие специалистов. При развитии осложнений необходимо привлечение гематолога, трансфузиолога, а в случае тяжелых кровотечений – реаниматолога. Важно обеспечить круглосуточную доступность консультативной помощи и возможность экстренного лабораторного обследования. Все случаи геморрагических осложнений должны документироваться с детальным описанием клинической картины, предпринятых мер и исходов для последующего анализа и совершенствования протоколов.</w:t>
      </w:r>
    </w:p>
    <w:p>
      <w:pPr>
        <w:pStyle w:val="Heading2"/>
        <w:spacing w:before="240" w:after="120"/>
      </w:pPr>
      <w:r>
        <w:rPr>
          <w:rFonts w:ascii="Times New Roman" w:hAnsi="Times New Roman"/>
          <w:b/>
          <w:sz w:val="28"/>
        </w:rPr>
        <w:t xml:space="preserve">Система контроля качества и индикаторы эффективности</w:t>
      </w:r>
    </w:p>
    <w:p>
      <w:pPr>
        <w:jc w:val="both"/>
        <w:ind w:firstLine="708"/>
        <w:spacing w:line="360" w:lineRule="auto"/>
      </w:pPr>
      <w:r>
        <w:rPr>
          <w:rFonts w:ascii="Times New Roman" w:hAnsi="Times New Roman"/>
          <w:sz w:val="28"/>
        </w:rPr>
        <w:t xml:space="preserve">Внедрение системы контроля качества антикоагулянтной терапии является необходимым условием для обеспечения безопасности пациентов и снижения частоты геморрагических осложнений. Система должна включать набор количественных и качественных индикаторов, позволяющих объективно оценивать эффективность проводимых мероприятий и выявлять области, требующие улучшения. Регулярный мониторинг индикаторов качества способствует своевременному выявлению проблем и принятию корректирующих мер.</w:t>
      </w:r>
    </w:p>
    <w:p>
      <w:pPr>
        <w:jc w:val="both"/>
        <w:ind w:firstLine="708"/>
        <w:spacing w:line="360" w:lineRule="auto"/>
      </w:pPr>
      <w:r>
        <w:rPr>
          <w:rFonts w:ascii="Times New Roman" w:hAnsi="Times New Roman"/>
          <w:sz w:val="28"/>
        </w:rPr>
        <w:t xml:space="preserve">Ключевым индикатором эффективности является частота геморрагических осложнений, которая должна стратифицироваться по степени тяжести. Легкие кровотечения включают незначительные гематомы, носовые кровотечения, не требующие медицинского вмешательства. Умеренные кровотечения характеризуются необходимостью изменения режима антикоагулянтной терапии или дополнительных медицинских вмешательств. Тяжелые кровотечения определяются как жизнеугрожающие состояния, требующие гемотрансфузии, хирургического вмешательства или приводящие к летальному исходу. Целевым показателем является снижение частоты умеренных и тяжелых кровотечений до уровня менее 2-3%</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индикатором является частота тромбоэмболических осложнений, включая тромбоз глубоких вен и тромбоэмболию легочной артерии. Оптимальная антикоагулянтная терапия должна обеспечивать баланс между профилактикой тромбозов и минимизацией риска кровотечений. Исследования показывают, что при использовании статинов, таких как аторвастатин, может быть достигнуто снижение частоты венозных тромбоэмболических осложнений с 7,3% до 2,0% для тромбоза глубоких вен и с 10,0% до 3,3% для тромбоэмболии легочной артерии</w:t>
      </w:r>
      <w:hyperlink w:anchor="_Source_18">
        <w:r>
          <w:rPr>
            <w:rFonts w:ascii="Times New Roman" w:hAnsi="Times New Roman"/>
            <w:sz w:val="28"/>
            <w:rStyle w:val="Hyperlink"/>
          </w:rPr>
          <w:t>[18]</w:t>
        </w:r>
      </w:hyperlink>
      <w:r>
        <w:rPr>
          <w:rFonts w:ascii="Times New Roman" w:hAnsi="Times New Roman"/>
          <w:sz w:val="28"/>
        </w:rPr>
        <w:t xml:space="preserve">. Это свидетельствует о потенциале комплексного подхода к профилактике.</w:t>
      </w:r>
    </w:p>
    <w:p>
      <w:pPr>
        <w:jc w:val="both"/>
        <w:ind w:firstLine="708"/>
        <w:spacing w:line="360" w:lineRule="auto"/>
      </w:pPr>
      <w:r>
        <w:rPr>
          <w:rFonts w:ascii="Times New Roman" w:hAnsi="Times New Roman"/>
          <w:sz w:val="28"/>
        </w:rPr>
        <w:t xml:space="preserve">Индикатор соблюдения протоколов антикоагулянтной терапии отражает степень приверженности медицинского персонала утвержденным стандартам. Необходимо оценивать процент пациентов, получивших профилактику в соответствии с рекомендациями, своевременность начала терапии, правильность расчета доз и продолжительность курса. Целевой показатель соблюдения протоколов должен составлять не менее 95%. Отклонения от протоколов должны анализироваться с выявлением причин и разработкой мер по их устранению.</w:t>
      </w:r>
    </w:p>
    <w:p>
      <w:pPr>
        <w:jc w:val="both"/>
        <w:ind w:firstLine="708"/>
        <w:spacing w:line="360" w:lineRule="auto"/>
      </w:pPr>
      <w:r>
        <w:rPr>
          <w:rFonts w:ascii="Times New Roman" w:hAnsi="Times New Roman"/>
          <w:sz w:val="28"/>
        </w:rPr>
        <w:t xml:space="preserve">Показатель своевременности лабораторного мониторинга характеризует качество контроля за антикоагулянтной терапией. Необходимо отслеживать процент пациентов, которым проведены все необходимые лабораторные исследования в установленные сроки, а также время от получения критических результатов до принятия клинических решений. Задержки в мониторинге могут приводить к несвоевременному выявлению осложнений и ухудшению исходов.</w:t>
      </w:r>
    </w:p>
    <w:p>
      <w:pPr>
        <w:jc w:val="both"/>
        <w:ind w:firstLine="708"/>
        <w:spacing w:line="360" w:lineRule="auto"/>
      </w:pPr>
      <w:r>
        <w:rPr>
          <w:rFonts w:ascii="Times New Roman" w:hAnsi="Times New Roman"/>
          <w:sz w:val="28"/>
        </w:rPr>
        <w:t xml:space="preserve">Индикатор скрытой кровопотери имеет особое значение для ортопедических операций. Как показывают исследования, скрытая кровопотеря может составлять значительную часть общей кровопотери и коррелировать со степенью жировой инфильтрации мышц ротаторной манжеты и размером разрыва. Систематическая оценка уровня гемоглобина и гематокрита в динамике позволяет выявлять скрытую кровопотерю и своевременно корректировать терапию</w:t>
      </w:r>
      <w:hyperlink w:anchor="_Source_17">
        <w:r>
          <w:rPr>
            <w:rFonts w:ascii="Times New Roman" w:hAnsi="Times New Roman"/>
            <w:sz w:val="28"/>
            <w:rStyle w:val="Hyperlink"/>
          </w:rPr>
          <w:t>[17]</w:t>
        </w:r>
      </w:hyperlink>
      <w:hyperlink w:anchor="_Source_18">
        <w:r>
          <w:rPr>
            <w:rFonts w:ascii="Times New Roman" w:hAnsi="Times New Roman"/>
            <w:sz w:val="28"/>
            <w:rStyle w:val="Hyperlink"/>
          </w:rPr>
          <w:t>[18]</w:t>
        </w:r>
      </w:hyperlink>
      <w:r>
        <w:rPr>
          <w:rFonts w:ascii="Times New Roman" w:hAnsi="Times New Roman"/>
          <w:sz w:val="28"/>
        </w:rPr>
        <w:t xml:space="preserve">.</w:t>
      </w:r>
    </w:p>
    <w:p>
      <w:pPr>
        <w:jc w:val="center"/>
        <w:spacing w:after="120"/>
      </w:pPr>
      <w:r>
        <w:rPr>
          <w:rFonts w:ascii="Times New Roman" w:hAnsi="Times New Roman"/>
          <w:sz w:val="24"/>
          <w:b/>
        </w:rPr>
        <w:t>Таблица 15. Ключевые индикаторы качества антикоагулянтной терапии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Индикатор</w:t>
            </w:r>
          </w:p>
        </w:tc>
        <w:tc>
          <w:tcPr>
            <w:vAlign w:val="center"/>
          </w:tcPr>
          <w:p>
            <w:pPr>
              <w:jc w:val="center"/>
            </w:pPr>
            <w:r>
              <w:rPr>
                <w:rFonts w:ascii="Times New Roman"/>
                <w:sz w:val="24"/>
                <w:b/>
              </w:rPr>
              <w:t>Метод оценки</w:t>
            </w:r>
          </w:p>
        </w:tc>
        <w:tc>
          <w:tcPr>
            <w:vAlign w:val="center"/>
          </w:tcPr>
          <w:p>
            <w:pPr>
              <w:jc w:val="center"/>
            </w:pPr>
            <w:r>
              <w:rPr>
                <w:rFonts w:ascii="Times New Roman"/>
                <w:sz w:val="24"/>
                <w:b/>
              </w:rPr>
              <w:t>Целевое значение</w:t>
            </w:r>
          </w:p>
        </w:tc>
        <w:tc>
          <w:tcPr>
            <w:vAlign w:val="center"/>
          </w:tcPr>
          <w:p>
            <w:pPr>
              <w:jc w:val="center"/>
            </w:pPr>
            <w:r>
              <w:rPr>
                <w:rFonts w:ascii="Times New Roman"/>
                <w:sz w:val="24"/>
                <w:b/>
              </w:rPr>
              <w:t>Частота мониторинга</w:t>
            </w:r>
          </w:p>
        </w:tc>
      </w:tr>
      <w:tr>
        <w:tc>
          <w:tcPr>
            <w:vAlign w:val="center"/>
          </w:tcPr>
          <w:p>
            <w:pPr>
              <w:jc w:val="center"/>
            </w:pPr>
            <w:r>
              <w:rPr>
                <w:rFonts w:ascii="Times New Roman"/>
                <w:sz w:val="24"/>
              </w:rPr>
              <w:t>Частота тяжелых кровотечений</w:t>
            </w:r>
          </w:p>
        </w:tc>
        <w:tc>
          <w:tcPr>
            <w:vAlign w:val="center"/>
          </w:tcPr>
          <w:p>
            <w:pPr>
              <w:jc w:val="center"/>
            </w:pPr>
            <w:r>
              <w:rPr>
                <w:rFonts w:ascii="Times New Roman"/>
                <w:sz w:val="24"/>
              </w:rPr>
              <w:t>Анализ медицинской документации</w:t>
            </w:r>
          </w:p>
        </w:tc>
        <w:tc>
          <w:tcPr>
            <w:vAlign w:val="center"/>
          </w:tcPr>
          <w:p>
            <w:pPr>
              <w:jc w:val="center"/>
            </w:pPr>
            <w:r>
              <w:rPr>
                <w:rFonts w:ascii="Times New Roman"/>
                <w:sz w:val="24"/>
              </w:rPr>
              <w:t>&lt;2%</w:t>
            </w:r>
          </w:p>
        </w:tc>
        <w:tc>
          <w:tcPr>
            <w:vAlign w:val="center"/>
          </w:tcPr>
          <w:p>
            <w:pPr>
              <w:jc w:val="center"/>
            </w:pPr>
            <w:r>
              <w:rPr>
                <w:rFonts w:ascii="Times New Roman"/>
                <w:sz w:val="24"/>
              </w:rPr>
              <w:t>Ежемесячно</w:t>
            </w:r>
          </w:p>
        </w:tc>
      </w:tr>
      <w:tr>
        <w:tc>
          <w:tcPr>
            <w:vAlign w:val="center"/>
          </w:tcPr>
          <w:p>
            <w:pPr>
              <w:jc w:val="center"/>
            </w:pPr>
            <w:r>
              <w:rPr>
                <w:rFonts w:ascii="Times New Roman"/>
                <w:sz w:val="24"/>
              </w:rPr>
              <w:t>Частота ТГВ/ТЭЛА</w:t>
            </w:r>
          </w:p>
        </w:tc>
        <w:tc>
          <w:tcPr>
            <w:vAlign w:val="center"/>
          </w:tcPr>
          <w:p>
            <w:pPr>
              <w:jc w:val="center"/>
            </w:pPr>
            <w:r>
              <w:rPr>
                <w:rFonts w:ascii="Times New Roman"/>
                <w:sz w:val="24"/>
              </w:rPr>
              <w:t>Регистр осложнений</w:t>
            </w:r>
          </w:p>
        </w:tc>
        <w:tc>
          <w:tcPr>
            <w:vAlign w:val="center"/>
          </w:tcPr>
          <w:p>
            <w:pPr>
              <w:jc w:val="center"/>
            </w:pPr>
            <w:r>
              <w:rPr>
                <w:rFonts w:ascii="Times New Roman"/>
                <w:sz w:val="24"/>
              </w:rPr>
              <w:t>&lt;3%</w:t>
            </w:r>
          </w:p>
        </w:tc>
        <w:tc>
          <w:tcPr>
            <w:vAlign w:val="center"/>
          </w:tcPr>
          <w:p>
            <w:pPr>
              <w:jc w:val="center"/>
            </w:pPr>
            <w:r>
              <w:rPr>
                <w:rFonts w:ascii="Times New Roman"/>
                <w:sz w:val="24"/>
              </w:rPr>
              <w:t>Ежемесячно</w:t>
            </w:r>
          </w:p>
        </w:tc>
      </w:tr>
      <w:tr>
        <w:tc>
          <w:tcPr>
            <w:vAlign w:val="center"/>
          </w:tcPr>
          <w:p>
            <w:pPr>
              <w:jc w:val="center"/>
            </w:pPr>
            <w:r>
              <w:rPr>
                <w:rFonts w:ascii="Times New Roman"/>
                <w:sz w:val="24"/>
              </w:rPr>
              <w:t>Соблюдение протоколов</w:t>
            </w:r>
          </w:p>
        </w:tc>
        <w:tc>
          <w:tcPr>
            <w:vAlign w:val="center"/>
          </w:tcPr>
          <w:p>
            <w:pPr>
              <w:jc w:val="center"/>
            </w:pPr>
            <w:r>
              <w:rPr>
                <w:rFonts w:ascii="Times New Roman"/>
                <w:sz w:val="24"/>
              </w:rPr>
              <w:t>Аудит назначений</w:t>
            </w:r>
          </w:p>
        </w:tc>
        <w:tc>
          <w:tcPr>
            <w:vAlign w:val="center"/>
          </w:tcPr>
          <w:p>
            <w:pPr>
              <w:jc w:val="center"/>
            </w:pPr>
            <w:r>
              <w:rPr>
                <w:rFonts w:ascii="Times New Roman"/>
                <w:sz w:val="24"/>
              </w:rPr>
              <w:t>&gt;95%</w:t>
            </w:r>
          </w:p>
        </w:tc>
        <w:tc>
          <w:tcPr>
            <w:vAlign w:val="center"/>
          </w:tcPr>
          <w:p>
            <w:pPr>
              <w:jc w:val="center"/>
            </w:pPr>
            <w:r>
              <w:rPr>
                <w:rFonts w:ascii="Times New Roman"/>
                <w:sz w:val="24"/>
              </w:rPr>
              <w:t>Ежеквартально</w:t>
            </w:r>
          </w:p>
        </w:tc>
      </w:tr>
      <w:tr>
        <w:tc>
          <w:tcPr>
            <w:vAlign w:val="center"/>
          </w:tcPr>
          <w:p>
            <w:pPr>
              <w:jc w:val="center"/>
            </w:pPr>
            <w:r>
              <w:rPr>
                <w:rFonts w:ascii="Times New Roman"/>
                <w:sz w:val="24"/>
              </w:rPr>
              <w:t>Своевременность мониторинга</w:t>
            </w:r>
          </w:p>
        </w:tc>
        <w:tc>
          <w:tcPr>
            <w:vAlign w:val="center"/>
          </w:tcPr>
          <w:p>
            <w:pPr>
              <w:jc w:val="center"/>
            </w:pPr>
            <w:r>
              <w:rPr>
                <w:rFonts w:ascii="Times New Roman"/>
                <w:sz w:val="24"/>
              </w:rPr>
              <w:t>Анализ лабораторных данных</w:t>
            </w:r>
          </w:p>
        </w:tc>
        <w:tc>
          <w:tcPr>
            <w:vAlign w:val="center"/>
          </w:tcPr>
          <w:p>
            <w:pPr>
              <w:jc w:val="center"/>
            </w:pPr>
            <w:r>
              <w:rPr>
                <w:rFonts w:ascii="Times New Roman"/>
                <w:sz w:val="24"/>
              </w:rPr>
              <w:t>&gt;90%</w:t>
            </w:r>
          </w:p>
        </w:tc>
        <w:tc>
          <w:tcPr>
            <w:vAlign w:val="center"/>
          </w:tcPr>
          <w:p>
            <w:pPr>
              <w:jc w:val="center"/>
            </w:pPr>
            <w:r>
              <w:rPr>
                <w:rFonts w:ascii="Times New Roman"/>
                <w:sz w:val="24"/>
              </w:rPr>
              <w:t>Ежемесячно</w:t>
            </w:r>
          </w:p>
        </w:tc>
      </w:tr>
      <w:tr>
        <w:tc>
          <w:tcPr>
            <w:vAlign w:val="center"/>
          </w:tcPr>
          <w:p>
            <w:pPr>
              <w:jc w:val="center"/>
            </w:pPr>
            <w:r>
              <w:rPr>
                <w:rFonts w:ascii="Times New Roman"/>
                <w:sz w:val="24"/>
              </w:rPr>
              <w:t>Удовлетворенность пациентов</w:t>
            </w:r>
          </w:p>
        </w:tc>
        <w:tc>
          <w:tcPr>
            <w:vAlign w:val="center"/>
          </w:tcPr>
          <w:p>
            <w:pPr>
              <w:jc w:val="center"/>
            </w:pPr>
            <w:r>
              <w:rPr>
                <w:rFonts w:ascii="Times New Roman"/>
                <w:sz w:val="24"/>
              </w:rPr>
              <w:t>Анкетирование</w:t>
            </w:r>
          </w:p>
        </w:tc>
        <w:tc>
          <w:tcPr>
            <w:vAlign w:val="center"/>
          </w:tcPr>
          <w:p>
            <w:pPr>
              <w:jc w:val="center"/>
            </w:pPr>
            <w:r>
              <w:rPr>
                <w:rFonts w:ascii="Times New Roman"/>
                <w:sz w:val="24"/>
              </w:rPr>
              <w:t>&gt;85%</w:t>
            </w:r>
          </w:p>
        </w:tc>
        <w:tc>
          <w:tcPr>
            <w:vAlign w:val="center"/>
          </w:tcPr>
          <w:p>
            <w:pPr>
              <w:jc w:val="center"/>
            </w:pPr>
            <w:r>
              <w:rPr>
                <w:rFonts w:ascii="Times New Roman"/>
                <w:sz w:val="24"/>
              </w:rPr>
              <w:t>Ежеквартально</w:t>
            </w:r>
          </w:p>
        </w:tc>
      </w:tr>
    </w:tbl>
    <w:p>
      <w:r>
        <w:t/>
      </w:r>
    </w:p>
    <w:p>
      <w:pPr>
        <w:jc w:val="both"/>
        <w:ind w:firstLine="708"/>
        <w:spacing w:line="360" w:lineRule="auto"/>
      </w:pPr>
      <w:r>
        <w:rPr>
          <w:rFonts w:ascii="Times New Roman" w:hAnsi="Times New Roman"/>
          <w:sz w:val="28"/>
        </w:rPr>
        <w:t xml:space="preserve">Система контроля качества должна включать регулярные аудиты медицинской документации для оценки полноты и правильности оформления назначений антикоагулянтов, результатов мониторинга и обоснования клинических решений. Рекомендуется проведение ежеквартальных аудитов с анализом не менее 10% всех случаев применения антикоагулянтной терапии. Результаты аудитов должны обсуждаться на клинических конференциях с разработкой конкретных мероприятий по улучшению качества.</w:t>
      </w:r>
    </w:p>
    <w:p>
      <w:pPr>
        <w:jc w:val="both"/>
        <w:ind w:firstLine="708"/>
        <w:spacing w:line="360" w:lineRule="auto"/>
      </w:pPr>
      <w:r>
        <w:rPr>
          <w:rFonts w:ascii="Times New Roman" w:hAnsi="Times New Roman"/>
          <w:sz w:val="28"/>
        </w:rPr>
        <w:t xml:space="preserve">Важным компонентом системы является анализ нежелательных событий и осложнений. Каждый случай геморрагического осложнения должен подвергаться детальному разбору с участием мультидисциплинарной команды для выявления возможных причин и факторов, способствовавших развитию осложнения. Необходимо определить, были ли соблюдены протоколы, проведен ли адекватный мониторинг, своевременно ли приняты меры по коррекции терапии. Результаты анализа должны использоваться для совершенствования протоколов и образовательных программ.</w:t>
      </w:r>
    </w:p>
    <w:p>
      <w:pPr>
        <w:jc w:val="both"/>
        <w:ind w:firstLine="708"/>
        <w:spacing w:line="360" w:lineRule="auto"/>
      </w:pPr>
      <w:r>
        <w:rPr>
          <w:rFonts w:ascii="Times New Roman" w:hAnsi="Times New Roman"/>
          <w:sz w:val="28"/>
        </w:rPr>
        <w:t xml:space="preserve">Система обратной связи с пациентами позволяет оценить их удовлетворенность качеством медицинской помощи и выявить проблемы, которые могут быть не очевидны для медицинского персонала. Анкетирование пациентов должно включать вопросы о понимании цели антикоагулянтной терапии, информированности о возможных осложнениях и действиях при их развитии, удобстве режима приема препаратов. Низкая удовлетворенность пациентов может указывать на недостатки в информировании и образовании пациентов, что требует усиления этого направления работы.</w:t>
      </w:r>
    </w:p>
    <w:p>
      <w:pPr>
        <w:jc w:val="both"/>
        <w:ind w:firstLine="708"/>
        <w:spacing w:line="360" w:lineRule="auto"/>
      </w:pPr>
      <w:r>
        <w:rPr>
          <w:rFonts w:ascii="Times New Roman" w:hAnsi="Times New Roman"/>
          <w:sz w:val="28"/>
        </w:rPr>
        <w:t xml:space="preserve">Для обеспечения непрерывного улучшения качества необходимо внедрение цикла PDCA (Plan-Do-Check-Act): планирование мероприятий на основе анализа текущих показателей, реализация запланированных изменений, проверка их эффективности через мониторинг индикаторов и корректировка подходов при необходимости. Такой систематический подход позволяет достичь устойчивого снижения частоты геморрагических осложнений и повышения безопасности антикоагулянтной терапии в ортопедической практике.</w:t>
      </w:r>
    </w:p>
    <w:p>
      <w:r>
        <w:t/>
      </w:r>
    </w:p>
    <w:p>
      <w:pPr>
        <w:pStyle w:val="Heading1"/>
        <w:jc w:val="center"/>
        <w:spacing w:before="240" w:after="240"/>
      </w:pPr>
      <w:r>
        <w:rPr>
          <w:rFonts w:ascii="Times New Roman" w:hAnsi="Times New Roman"/>
          <w:b/>
          <w:sz w:val="28"/>
        </w:rPr>
        <w:t xml:space="preserve">ЗАКЛЮЧЕНИЕ</w:t>
      </w:r>
    </w:p>
    <w:p>
      <w:pPr>
        <w:jc w:val="both"/>
        <w:ind w:firstLine="708"/>
        <w:spacing w:line="360" w:lineRule="auto"/>
      </w:pPr>
      <w:r>
        <w:rPr>
          <w:rFonts w:ascii="Times New Roman" w:hAnsi="Times New Roman"/>
          <w:sz w:val="28"/>
        </w:rPr>
        <w:t xml:space="preserve">Проведенное исследование было посвящено комплексному анализу организации антикоагулянтной терапии после ортопедических операций с акцентом на аудит соблюдения протоколов и снижение геморрагических осложнений. В работе были систематизированы современные подходы к профилактике венозных тромбоэмболических осложнений, проанализированы факторы риска развития кровотечений и изучены механизмы оптимизации терапевтических стратегий в различных клинических ситуациях.</w:t>
      </w:r>
    </w:p>
    <w:p>
      <w:pPr>
        <w:pStyle w:val="Heading2"/>
        <w:spacing w:before="240" w:after="120"/>
      </w:pPr>
      <w:r>
        <w:rPr>
          <w:rFonts w:ascii="Times New Roman" w:hAnsi="Times New Roman"/>
          <w:b/>
          <w:sz w:val="28"/>
        </w:rPr>
        <w:t xml:space="preserve">Основные результаты исследования</w:t>
      </w:r>
    </w:p>
    <w:p>
      <w:pPr>
        <w:jc w:val="both"/>
        <w:ind w:firstLine="708"/>
        <w:spacing w:line="360" w:lineRule="auto"/>
      </w:pPr>
      <w:r>
        <w:rPr>
          <w:rFonts w:ascii="Times New Roman" w:hAnsi="Times New Roman"/>
          <w:sz w:val="28"/>
        </w:rPr>
        <w:t xml:space="preserve">Анализ литературных данных и клинических исследований позволил выявить ключевые закономерности в организации антикоагулянтной терапии после ортопедических вмешательств. Установлено, что частота венозных тромбоэмболических осложнений после операций на тазобедренном суставе без профилактики может достигать 16,6%, что подчеркивает критическую важность адекватной антикоагулянтной защиты</w:t>
      </w:r>
      <w:hyperlink w:anchor="_Source_24">
        <w:r>
          <w:rPr>
            <w:rFonts w:ascii="Times New Roman" w:hAnsi="Times New Roman"/>
            <w:sz w:val="28"/>
            <w:rStyle w:val="Hyperlink"/>
          </w:rPr>
          <w:t>[24]</w:t>
        </w:r>
      </w:hyperlink>
      <w:r>
        <w:rPr>
          <w:rFonts w:ascii="Times New Roman" w:hAnsi="Times New Roman"/>
          <w:sz w:val="28"/>
        </w:rPr>
        <w:t xml:space="preserve">. При этом современные прямые оральные антикоагулянты демонстрируют сопоставимую или превосходящую эффективность по сравнению с традиционными низкомолекулярными гепаринами.</w:t>
      </w:r>
    </w:p>
    <w:p>
      <w:pPr>
        <w:jc w:val="both"/>
        <w:ind w:firstLine="708"/>
        <w:spacing w:line="360" w:lineRule="auto"/>
      </w:pPr>
      <w:r>
        <w:rPr>
          <w:rFonts w:ascii="Times New Roman" w:hAnsi="Times New Roman"/>
          <w:sz w:val="28"/>
        </w:rPr>
        <w:t xml:space="preserve">Результаты сравнительного анализа различных антикоагулянтных стратегий показали, что ривароксабан обеспечивает значительное снижение частоты венозных тромбоэмболических осложнений после операций по поводу переломов бедра по сравнению с эноксапарином (9,5% против 26,61% соответственно), что согласуется с данными ретроспективного когортного исследования</w:t>
      </w:r>
      <w:hyperlink w:anchor="_Source_24">
        <w:r>
          <w:rPr>
            <w:rFonts w:ascii="Times New Roman" w:hAnsi="Times New Roman"/>
            <w:sz w:val="28"/>
            <w:rStyle w:val="Hyperlink"/>
          </w:rPr>
          <w:t>[24]</w:t>
        </w:r>
      </w:hyperlink>
      <w:r>
        <w:rPr>
          <w:rFonts w:ascii="Times New Roman" w:hAnsi="Times New Roman"/>
          <w:sz w:val="28"/>
        </w:rPr>
        <w:t xml:space="preserve">. Однако важно отметить, что применение ривароксабана ассоциировалось с более высокой частотой геморрагических событий (9,52% против 1,61%), хотя случаев большого кровотечения зарегистрировано не было.</w:t>
      </w:r>
    </w:p>
    <w:p>
      <w:pPr>
        <w:jc w:val="both"/>
        <w:ind w:firstLine="708"/>
        <w:spacing w:line="360" w:lineRule="auto"/>
      </w:pPr>
      <w:r>
        <w:rPr>
          <w:rFonts w:ascii="Times New Roman" w:hAnsi="Times New Roman"/>
          <w:sz w:val="28"/>
        </w:rPr>
        <w:t xml:space="preserve">Особое внимание в работе уделено факторам риска развития венозных тромбоэмболических осложнений. Установлено, что индекс коморбидности Чарлсона ≥4 и отсрочка от госпитализации до операции являются независимыми предикторами развития венозной тромбоэмболии у пациентов с метастатическими опухолями позвоночника</w:t>
      </w:r>
      <w:hyperlink w:anchor="_Source_23">
        <w:r>
          <w:rPr>
            <w:rFonts w:ascii="Times New Roman" w:hAnsi="Times New Roman"/>
            <w:sz w:val="28"/>
            <w:rStyle w:val="Hyperlink"/>
          </w:rPr>
          <w:t>[23]</w:t>
        </w:r>
      </w:hyperlink>
      <w:r>
        <w:rPr>
          <w:rFonts w:ascii="Times New Roman" w:hAnsi="Times New Roman"/>
          <w:sz w:val="28"/>
        </w:rPr>
        <w:t xml:space="preserve">. Эти данные подчеркивают необходимость индивидуализированного подхода к оценке риска и выбору оптимальной профилактической стратегии.</w:t>
      </w:r>
    </w:p>
    <w:p>
      <w:pPr>
        <w:jc w:val="both"/>
        <w:ind w:firstLine="708"/>
        <w:spacing w:line="360" w:lineRule="auto"/>
      </w:pPr>
      <w:r>
        <w:rPr>
          <w:rFonts w:ascii="Times New Roman" w:hAnsi="Times New Roman"/>
          <w:sz w:val="28"/>
        </w:rPr>
        <w:t xml:space="preserve">Анализ применения искусственного интеллекта в предоперационном планировании продемонстрировал перспективные возможности для оптимизации хирургических вмешательств. Система AI-HIP показала высокую точность в прогнозировании размеров компонентов эндопротеза и углов антеверсии, что способствует снижению интраоперационной травмы и, как следствие, уменьшению риска тромбоэмболических осложнений</w:t>
      </w:r>
      <w:hyperlink w:anchor="_Source_21">
        <w:r>
          <w:rPr>
            <w:rFonts w:ascii="Times New Roman" w:hAnsi="Times New Roman"/>
            <w:sz w:val="28"/>
            <w:rStyle w:val="Hyperlink"/>
          </w:rPr>
          <w:t>[21]</w:t>
        </w:r>
      </w:hyperlink>
      <w:r>
        <w:rPr>
          <w:rFonts w:ascii="Times New Roman" w:hAnsi="Times New Roman"/>
          <w:sz w:val="28"/>
        </w:rPr>
        <w:t xml:space="preserve">. При прямом переднем доступе отмечены более короткие сроки госпитализации (7,59±4,18 против 9,09±3,65 дней) и лучшие показатели ранней функциональной реабилитации.</w:t>
      </w:r>
    </w:p>
    <w:p>
      <w:pPr>
        <w:jc w:val="both"/>
        <w:ind w:firstLine="708"/>
        <w:spacing w:line="360" w:lineRule="auto"/>
      </w:pPr>
      <w:r>
        <w:rPr>
          <w:rFonts w:ascii="Times New Roman" w:hAnsi="Times New Roman"/>
          <w:sz w:val="28"/>
        </w:rPr>
        <w:t xml:space="preserve">Важным аспектом исследования стало изучение взаимосвязи между симптоматическими миомами матки и риском венозной тромбоэмболии. Выявлена статистически значимая положительная корреляция (r=0,115, p&lt;0,001) между наличием симптоматических миом и историей венозной тромбоэмболии, что указывает на необходимость тщательного мониторинга и профилактических мероприятий у данной категории пациенток</w:t>
      </w:r>
      <w:hyperlink w:anchor="_Source_22">
        <w:r>
          <w:rPr>
            <w:rFonts w:ascii="Times New Roman" w:hAnsi="Times New Roman"/>
            <w:sz w:val="28"/>
            <w:rStyle w:val="Hyperlink"/>
          </w:rPr>
          <w:t>[22]</w:t>
        </w:r>
      </w:hyperlink>
      <w:r>
        <w:rPr>
          <w:rFonts w:ascii="Times New Roman" w:hAnsi="Times New Roman"/>
          <w:sz w:val="28"/>
        </w:rPr>
        <w:t xml:space="preserve">. Среди пациенток с симптоматическими миомами 17,86% имели венозную тромбоэмболию в анамнезе, что существенно превышает общепопуляционные показатели.</w:t>
      </w:r>
    </w:p>
    <w:p>
      <w:pPr>
        <w:jc w:val="both"/>
        <w:ind w:firstLine="708"/>
        <w:spacing w:line="360" w:lineRule="auto"/>
      </w:pPr>
      <w:r>
        <w:rPr>
          <w:rFonts w:ascii="Times New Roman" w:hAnsi="Times New Roman"/>
          <w:sz w:val="28"/>
        </w:rPr>
        <w:t xml:space="preserve">Экономический анализ показал, что средняя дневная стоимость терапии ривароксабаном составляет 26,49±4,77 юаней, что значительно ниже стоимости эноксапарина (75,24±18.54 юаней)</w:t>
      </w:r>
      <w:hyperlink w:anchor="_Source_24">
        <w:r>
          <w:rPr>
            <w:rFonts w:ascii="Times New Roman" w:hAnsi="Times New Roman"/>
            <w:sz w:val="28"/>
            <w:rStyle w:val="Hyperlink"/>
          </w:rPr>
          <w:t>[24]</w:t>
        </w:r>
      </w:hyperlink>
      <w:r>
        <w:rPr>
          <w:rFonts w:ascii="Times New Roman" w:hAnsi="Times New Roman"/>
          <w:sz w:val="28"/>
        </w:rPr>
        <w:t xml:space="preserve">. Это делает ривароксабан экономически привлекательной альтернативой, особенно с учетом удобства перорального приема и отсутствия необходимости в регулярном мониторинге коагуляции.</w:t>
      </w:r>
    </w:p>
    <w:p>
      <w:pPr>
        <w:pStyle w:val="Heading2"/>
        <w:spacing w:before="240" w:after="120"/>
      </w:pPr>
      <w:r>
        <w:rPr>
          <w:rFonts w:ascii="Times New Roman" w:hAnsi="Times New Roman"/>
          <w:b/>
          <w:sz w:val="28"/>
        </w:rPr>
        <w:t xml:space="preserve">Практическая значимость работы и перспективы внедрения</w:t>
      </w:r>
    </w:p>
    <w:p>
      <w:pPr>
        <w:jc w:val="both"/>
        <w:ind w:firstLine="708"/>
        <w:spacing w:line="360" w:lineRule="auto"/>
      </w:pPr>
      <w:r>
        <w:rPr>
          <w:rFonts w:ascii="Times New Roman" w:hAnsi="Times New Roman"/>
          <w:sz w:val="28"/>
        </w:rPr>
        <w:t xml:space="preserve">Практическая значимость проведенного исследования заключается в разработке комплексного подхода к организации антикоагулянтной терапии, учитывающего индивидуальные факторы риска пациентов, тип хирургического вмешательства и экономические аспекты лечения. Результаты работы могут быть использованы для создания локальных протоколов профилактики венозных тромбоэмболических осложнений в ортопедических отделениях.</w:t>
      </w:r>
    </w:p>
    <w:p>
      <w:pPr>
        <w:jc w:val="both"/>
        <w:ind w:firstLine="708"/>
        <w:spacing w:line="360" w:lineRule="auto"/>
      </w:pPr>
      <w:r>
        <w:rPr>
          <w:rFonts w:ascii="Times New Roman" w:hAnsi="Times New Roman"/>
          <w:sz w:val="28"/>
        </w:rPr>
        <w:t xml:space="preserve">Внедрение систем искусственного интеллекта для предоперационного планирования представляется перспективным направлением, способным повысить точность имплантации компонентов эндопротеза и снизить хирургическую травму</w:t>
      </w:r>
      <w:hyperlink w:anchor="_Source_21">
        <w:r>
          <w:rPr>
            <w:rFonts w:ascii="Times New Roman" w:hAnsi="Times New Roman"/>
            <w:sz w:val="28"/>
            <w:rStyle w:val="Hyperlink"/>
          </w:rPr>
          <w:t>[21]</w:t>
        </w:r>
      </w:hyperlink>
      <w:r>
        <w:rPr>
          <w:rFonts w:ascii="Times New Roman" w:hAnsi="Times New Roman"/>
          <w:sz w:val="28"/>
        </w:rPr>
        <w:t xml:space="preserve">. Это особенно актуально для сложных случаев, таких как эндопротезирование при диспластических изменениях тазобедренного сустава.</w:t>
      </w:r>
    </w:p>
    <w:p>
      <w:pPr>
        <w:jc w:val="both"/>
        <w:ind w:firstLine="708"/>
        <w:spacing w:line="360" w:lineRule="auto"/>
      </w:pPr>
      <w:r>
        <w:rPr>
          <w:rFonts w:ascii="Times New Roman" w:hAnsi="Times New Roman"/>
          <w:sz w:val="28"/>
        </w:rPr>
        <w:t xml:space="preserve">Разработанные рекомендации по стратификации риска венозной тромбоэмболии позволяют идентифицировать пациентов высокого риска на дооперационном этапе и применять к ним усиленные профилактические меры. Особое внимание следует уделять пациентам с высоким индексом коморбидности, отсроченными операциями и специфическими состояниями, такими как крупные миомы матки или метастатические поражения позвоночника</w:t>
      </w:r>
      <w:hyperlink w:anchor="_Source_22">
        <w:r>
          <w:rPr>
            <w:rFonts w:ascii="Times New Roman" w:hAnsi="Times New Roman"/>
            <w:sz w:val="28"/>
            <w:rStyle w:val="Hyperlink"/>
          </w:rPr>
          <w:t>[22]</w:t>
        </w:r>
      </w:hyperlink>
      <w:hyperlink w:anchor="_Source_23">
        <w:r>
          <w:rPr>
            <w:rFonts w:ascii="Times New Roman" w:hAnsi="Times New Roman"/>
            <w:sz w:val="28"/>
            <w:rStyle w:val="Hyperlink"/>
          </w:rPr>
          <w:t>[23]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Перспективы дальнейших исследований включают проведение многоцентровых проспективных исследований для валидации выявленных предикторов осложнений и оценки долгосрочных результатов различных антикоагулянтных стратегий. Необходимо также изучение оптимальных режимов дозирования антикоагулянтов у пациентов с экстремальными значениями массы тела и множественными факторами риска. Разработка персонализированных алгоритмов выбора антикоагулянтной терапии на основе интеграции клинических, лабораторных и инструментальных данных с использованием методов машинного обучения представляется важным направлением будущих исследований.</w:t>
      </w:r>
    </w:p>
    <w:p>
      <w:r>
        <w:t/>
      </w:r>
    </w:p>
    <w:p>
      <w:pPr>
        <w:pStyle w:val="Heading1"/>
        <w:jc w:val="center"/>
        <w:spacing w:before="240" w:after="240"/>
      </w:pPr>
      <w:r>
        <w:rPr>
          <w:rFonts w:ascii="Times New Roman" w:hAnsi="Times New Roman"/>
          <w:b/>
          <w:sz w:val="28"/>
        </w:rPr>
        <w:t xml:space="preserve">СПИСОК ИСПОЛЬЗОВАННЫХ ИСТОЧНИКОВ</w:t>
      </w:r>
    </w:p>
    <w:p>
      <w:pPr>
        <w:jc w:val="both"/>
        <w:spacing w:line="360" w:lineRule="auto"/>
      </w:pPr>
      <w:bookmarkStart w:name="_Source_1" w:id="189246"/>
      <w:r>
        <w:rPr>
          <w:rFonts w:ascii="Times New Roman" w:hAnsi="Times New Roman"/>
          <w:sz w:val="28"/>
        </w:rPr>
        <w:t xml:space="preserve">1. Hun-Gyu, H.. Clinical strategies for perioperative management of direct oral anticoagulants in patients treated for venous thromboembolism / H. Hun-Gyu, S. Jinwoo, K. Yang‐Ki. – 2025.</w:t>
      </w:r>
      <w:bookmarkEnd w:id="189246"/>
    </w:p>
    <w:p>
      <w:pPr>
        <w:jc w:val="both"/>
        <w:spacing w:line="360" w:lineRule="auto"/>
      </w:pPr>
      <w:bookmarkStart w:name="_Source_2" w:id="402948"/>
      <w:r>
        <w:rPr>
          <w:rFonts w:ascii="Times New Roman" w:hAnsi="Times New Roman"/>
          <w:sz w:val="28"/>
        </w:rPr>
        <w:t xml:space="preserve">2. Cost-effectiveness of percutaneous thrombectomy versus anticoagulant therapy in provoked deep vein thrombosis after total knee replacement: a case report / N. Hayatun, R. Y, R. Wulyo [и др.]. – 2025.</w:t>
      </w:r>
      <w:bookmarkEnd w:id="402948"/>
    </w:p>
    <w:p>
      <w:pPr>
        <w:jc w:val="both"/>
        <w:spacing w:line="360" w:lineRule="auto"/>
      </w:pPr>
      <w:bookmarkStart w:name="_Source_3" w:id="274572"/>
      <w:r>
        <w:rPr>
          <w:rFonts w:ascii="Times New Roman" w:hAnsi="Times New Roman"/>
          <w:sz w:val="28"/>
        </w:rPr>
        <w:t xml:space="preserve">3. Post-operative anticoagulation therapy after knee or hip replacement: The role of patients’ preferences in selection of therapy / L. Leslie, S. Dmitry, S. Azza [и др.]. – 2025.</w:t>
      </w:r>
      <w:bookmarkEnd w:id="274572"/>
    </w:p>
    <w:p>
      <w:pPr>
        <w:jc w:val="both"/>
        <w:spacing w:line="360" w:lineRule="auto"/>
      </w:pPr>
      <w:bookmarkStart w:name="_Source_4" w:id="946859"/>
      <w:r>
        <w:rPr>
          <w:rFonts w:ascii="Times New Roman" w:hAnsi="Times New Roman"/>
          <w:sz w:val="28"/>
        </w:rPr>
        <w:t xml:space="preserve">4. Venous Thromboembolism Prophylaxis in Total Shoulder Arthroplasty: A Matched Cohort Analysis / K. Akhil, J. Tej, S. Thomas [и др.]. – 2025.</w:t>
      </w:r>
      <w:bookmarkEnd w:id="946859"/>
    </w:p>
    <w:p>
      <w:pPr>
        <w:jc w:val="both"/>
        <w:spacing w:line="360" w:lineRule="auto"/>
      </w:pPr>
      <w:bookmarkStart w:name="_Source_5" w:id="213032"/>
      <w:r>
        <w:rPr>
          <w:rFonts w:ascii="Times New Roman" w:hAnsi="Times New Roman"/>
          <w:sz w:val="28"/>
        </w:rPr>
        <w:t xml:space="preserve">5. Anticoagulation and thromboembolic risk in critically ill patients with trigger-induced atrial fibrillation—A systematic review and meta-analysis / K. Jasper, V. D. K. Mileen, A. V. D. W. Brittney [и др.]. – 2025.</w:t>
      </w:r>
      <w:bookmarkEnd w:id="213032"/>
    </w:p>
    <w:p>
      <w:pPr>
        <w:jc w:val="both"/>
        <w:spacing w:line="360" w:lineRule="auto"/>
      </w:pPr>
      <w:bookmarkStart w:name="_Source_6" w:id="563771"/>
      <w:r>
        <w:rPr>
          <w:rFonts w:ascii="Times New Roman" w:hAnsi="Times New Roman"/>
          <w:sz w:val="28"/>
        </w:rPr>
        <w:t xml:space="preserve">6. Low-Molecular-Weight Heparin in Orthopedic Patients Taking Clopidogrel: A Focused Review / M. Ahmed, K. Azizuddin, F. Usman, E. Alaa. – 2025.</w:t>
      </w:r>
      <w:bookmarkEnd w:id="563771"/>
    </w:p>
    <w:p>
      <w:pPr>
        <w:jc w:val="both"/>
        <w:spacing w:line="360" w:lineRule="auto"/>
      </w:pPr>
      <w:bookmarkStart w:name="_Source_7" w:id="993118"/>
      <w:r>
        <w:rPr>
          <w:rFonts w:ascii="Times New Roman" w:hAnsi="Times New Roman"/>
          <w:sz w:val="28"/>
        </w:rPr>
        <w:t xml:space="preserve">7. Multicenter Evaluation of a Rivaroxaban-Calibrated Anti- Xa Assay against LC-MS/MS in China: Correlation, Accuracy, and Clinical Utility / Z. Juntao, C. Wenhao, S. Yuying [и др.]. – 2025.</w:t>
      </w:r>
      <w:bookmarkEnd w:id="993118"/>
    </w:p>
    <w:p>
      <w:pPr>
        <w:jc w:val="both"/>
        <w:spacing w:line="360" w:lineRule="auto"/>
      </w:pPr>
      <w:bookmarkStart w:name="_Source_8" w:id="239049"/>
      <w:r>
        <w:rPr>
          <w:rFonts w:ascii="Times New Roman" w:hAnsi="Times New Roman"/>
          <w:sz w:val="28"/>
        </w:rPr>
        <w:t xml:space="preserve">8. Optimizing Venous Thromboembolism Prophylaxis in Achilles Tendon Rupture: A Systematic Review of Current Evidence and Protocol Recommendations / H. Mohamed, E. Mohamed, K. Mohamed [и др.]. – 2025.</w:t>
      </w:r>
      <w:bookmarkEnd w:id="239049"/>
    </w:p>
    <w:p>
      <w:pPr>
        <w:jc w:val="both"/>
        <w:spacing w:line="360" w:lineRule="auto"/>
      </w:pPr>
      <w:bookmarkStart w:name="_Source_9" w:id="778652"/>
      <w:r>
        <w:rPr>
          <w:rFonts w:ascii="Times New Roman" w:hAnsi="Times New Roman"/>
          <w:sz w:val="28"/>
        </w:rPr>
        <w:t xml:space="preserve">9. A Pharmacist-Led VTE Management Program in Orthopedic Surgery Associated with Reduced Venous Thromboembolism and Increased Pharmacological Prophylaxis: A Retrospective Study / W. Yalan, L. Songqing, T. Xuejiao [и др.]. – 2025.</w:t>
      </w:r>
      <w:bookmarkEnd w:id="778652"/>
    </w:p>
    <w:p>
      <w:pPr>
        <w:jc w:val="both"/>
        <w:spacing w:line="360" w:lineRule="auto"/>
      </w:pPr>
      <w:bookmarkStart w:name="_Source_10" w:id="490816"/>
      <w:r>
        <w:rPr>
          <w:rFonts w:ascii="Times New Roman" w:hAnsi="Times New Roman"/>
          <w:sz w:val="28"/>
        </w:rPr>
        <w:t xml:space="preserve">10. Jin-Young, K.. Clinical Applications of Tranexamic Acid (TXA): Focus on Cardiovascular Patients Receiving Antithrombotic Agents / K. Jin-Young, S. Ki-Hyun. – 2025.</w:t>
      </w:r>
      <w:bookmarkEnd w:id="490816"/>
    </w:p>
    <w:p>
      <w:pPr>
        <w:jc w:val="both"/>
        <w:spacing w:line="360" w:lineRule="auto"/>
      </w:pPr>
      <w:bookmarkStart w:name="_Source_11" w:id="7860"/>
      <w:r>
        <w:rPr>
          <w:rFonts w:ascii="Times New Roman" w:hAnsi="Times New Roman"/>
          <w:sz w:val="28"/>
        </w:rPr>
        <w:t xml:space="preserve">11. Impact of a Non-Mandatory Electronic Medical Record Protocol on Venous Thromboembolism Prophylaxis in Adult Hospitalized Patients: A Before-and-After Cohort Analysis of 177,856 Cases / P. T. Marcelo, J. P. Bruno, L. M. Emanuelle [и др.]. – 2025.</w:t>
      </w:r>
      <w:bookmarkEnd w:id="7860"/>
    </w:p>
    <w:p>
      <w:pPr>
        <w:jc w:val="both"/>
        <w:spacing w:line="360" w:lineRule="auto"/>
      </w:pPr>
      <w:bookmarkStart w:name="_Source_12" w:id="16732"/>
      <w:r>
        <w:rPr>
          <w:rFonts w:ascii="Times New Roman" w:hAnsi="Times New Roman"/>
          <w:sz w:val="28"/>
        </w:rPr>
        <w:t xml:space="preserve">12. B, J.. Venous thromboembolism prevention in South Africa: Bridging the gap between guidelines and practice / J. B, S. Elise. – 2025.</w:t>
      </w:r>
      <w:bookmarkEnd w:id="16732"/>
    </w:p>
    <w:p>
      <w:pPr>
        <w:jc w:val="both"/>
        <w:spacing w:line="360" w:lineRule="auto"/>
      </w:pPr>
      <w:bookmarkStart w:name="_Source_13" w:id="34737"/>
      <w:r>
        <w:rPr>
          <w:rFonts w:ascii="Times New Roman" w:hAnsi="Times New Roman"/>
          <w:sz w:val="28"/>
        </w:rPr>
        <w:t xml:space="preserve">13. Comparative analysis of apixaban vs. enoxaparin for thromboprophylaxis after radical cystectomy / S. Macklin Cory, R. Gabrielle, G. Martin [и др.]. – 2025.</w:t>
      </w:r>
      <w:bookmarkEnd w:id="34737"/>
    </w:p>
    <w:p>
      <w:pPr>
        <w:jc w:val="both"/>
        <w:spacing w:line="360" w:lineRule="auto"/>
      </w:pPr>
      <w:bookmarkStart w:name="_Source_14" w:id="290475"/>
      <w:r>
        <w:rPr>
          <w:rFonts w:ascii="Times New Roman" w:hAnsi="Times New Roman"/>
          <w:sz w:val="28"/>
        </w:rPr>
        <w:t xml:space="preserve">14. Oral Aspirin for Venous Thromboembolism Prophylaxis After Orthopedic Surgery: An Evidence-Based Review / R. Christian, F. Mark, S. Maria, H. Agnieszka. – 2025.</w:t>
      </w:r>
      <w:bookmarkEnd w:id="290475"/>
    </w:p>
    <w:p>
      <w:pPr>
        <w:jc w:val="both"/>
        <w:spacing w:line="360" w:lineRule="auto"/>
      </w:pPr>
      <w:bookmarkStart w:name="_Source_15" w:id="290794"/>
      <w:r>
        <w:rPr>
          <w:rFonts w:ascii="Times New Roman" w:hAnsi="Times New Roman"/>
          <w:sz w:val="28"/>
        </w:rPr>
        <w:t xml:space="preserve">15. Postoperative D-dimer as a signal of venous thromboembolism in patients receiving Edoxaban after hip or knee arthroplasty / N. Norito, I. Shiori, T. Masayuki [и др.]. – 2025.</w:t>
      </w:r>
      <w:bookmarkEnd w:id="290794"/>
    </w:p>
    <w:p>
      <w:pPr>
        <w:jc w:val="both"/>
        <w:spacing w:line="360" w:lineRule="auto"/>
      </w:pPr>
      <w:bookmarkStart w:name="_Source_16" w:id="191950"/>
      <w:r>
        <w:rPr>
          <w:rFonts w:ascii="Times New Roman" w:hAnsi="Times New Roman"/>
          <w:sz w:val="28"/>
        </w:rPr>
        <w:t xml:space="preserve">16. Serkan, A.. Silent Threats After Surgery: Incidence and Predictors of Deep Vein Thrombosis and Pulmonary Embolism in Orthopedic Patients / A. Serkan, K. Burhan. – 2025.</w:t>
      </w:r>
      <w:bookmarkEnd w:id="191950"/>
    </w:p>
    <w:p>
      <w:pPr>
        <w:jc w:val="both"/>
        <w:spacing w:line="360" w:lineRule="auto"/>
      </w:pPr>
      <w:bookmarkStart w:name="_Source_17" w:id="503528"/>
      <w:r>
        <w:rPr>
          <w:rFonts w:ascii="Times New Roman" w:hAnsi="Times New Roman"/>
          <w:sz w:val="28"/>
        </w:rPr>
        <w:t xml:space="preserve">17. Does fat infiltration of the rotator cuff muscles contribute to 8increased hidden blood loss (HBL) and other risk factors during arthroscopic rotator cuff repair for rotator cuff injuries? / L. Wenyi, T. S. Z., G. Shangju [и др.]. – 2025.</w:t>
      </w:r>
      <w:bookmarkEnd w:id="503528"/>
    </w:p>
    <w:p>
      <w:pPr>
        <w:jc w:val="both"/>
        <w:spacing w:line="360" w:lineRule="auto"/>
      </w:pPr>
      <w:bookmarkStart w:name="_Source_18" w:id="357876"/>
      <w:r>
        <w:rPr>
          <w:rFonts w:ascii="Times New Roman" w:hAnsi="Times New Roman"/>
          <w:sz w:val="28"/>
        </w:rPr>
        <w:t xml:space="preserve">18. Liu, H.. Efficacy of Atorvastatin Against Venous Thromboembolism After Total Hip Arthroplasty / H. Liu, K. Yi. – 2025.</w:t>
      </w:r>
      <w:bookmarkEnd w:id="357876"/>
    </w:p>
    <w:p>
      <w:pPr>
        <w:jc w:val="both"/>
        <w:spacing w:line="360" w:lineRule="auto"/>
      </w:pPr>
      <w:bookmarkStart w:name="_Source_19" w:id="808886"/>
      <w:r>
        <w:rPr>
          <w:rFonts w:ascii="Times New Roman" w:hAnsi="Times New Roman"/>
          <w:sz w:val="28"/>
        </w:rPr>
        <w:t xml:space="preserve">19. Injectable Tranexamic Acid Use in Arthroscopic Rotator Cuff Repair Is Safe and Associated with Reduced Postoperative Opioid Use / J. Mahatme Ronak, M. Shawn, G. Anish [и др.]. – 2026.</w:t>
      </w:r>
      <w:bookmarkEnd w:id="808886"/>
    </w:p>
    <w:p>
      <w:pPr>
        <w:jc w:val="both"/>
        <w:spacing w:line="360" w:lineRule="auto"/>
      </w:pPr>
      <w:bookmarkStart w:name="_Source_20" w:id="800679"/>
      <w:r>
        <w:rPr>
          <w:rFonts w:ascii="Times New Roman" w:hAnsi="Times New Roman"/>
          <w:sz w:val="28"/>
        </w:rPr>
        <w:t xml:space="preserve">20. Derek, D.. New evidence amid old assumptions for thromboembolic risk after total knee arthroplasty: a twist in the story / D. Derek, H. Colleen. – 2025.</w:t>
      </w:r>
      <w:bookmarkEnd w:id="800679"/>
    </w:p>
    <w:p>
      <w:pPr>
        <w:jc w:val="both"/>
        <w:spacing w:line="360" w:lineRule="auto"/>
      </w:pPr>
      <w:bookmarkStart w:name="_Source_21" w:id="959530"/>
      <w:r>
        <w:rPr>
          <w:rFonts w:ascii="Times New Roman" w:hAnsi="Times New Roman"/>
          <w:sz w:val="28"/>
        </w:rPr>
        <w:t xml:space="preserve">21. AI-assisted direct anterior approach versus posterolateral approach in total hip arthroplasty: a retrospective cohort study based on artifact-reduced CT 3D reconstruction / Z. Shanbin, Z. Jiaqing, C. Zhiyuan [и др.]. – 2025.</w:t>
      </w:r>
      <w:bookmarkEnd w:id="959530"/>
    </w:p>
    <w:p>
      <w:pPr>
        <w:jc w:val="both"/>
        <w:spacing w:line="360" w:lineRule="auto"/>
      </w:pPr>
      <w:bookmarkStart w:name="_Source_22" w:id="92191"/>
      <w:r>
        <w:rPr>
          <w:rFonts w:ascii="Times New Roman" w:hAnsi="Times New Roman"/>
          <w:sz w:val="28"/>
        </w:rPr>
        <w:t xml:space="preserve">22. Association Between Symptomatic Uterine Fibroids and Venous Thromboembolism Risk: A Correlational Descriptive Study in Riyadh, Saudi Arabia / M. S. Sara, M. A. Ateeq, M. S. Maitê [и др.]. – 2025.</w:t>
      </w:r>
      <w:bookmarkEnd w:id="92191"/>
    </w:p>
    <w:p>
      <w:pPr>
        <w:jc w:val="both"/>
        <w:spacing w:line="360" w:lineRule="auto"/>
      </w:pPr>
      <w:bookmarkStart w:name="_Source_23" w:id="635670"/>
      <w:r>
        <w:rPr>
          <w:rFonts w:ascii="Times New Roman" w:hAnsi="Times New Roman"/>
          <w:sz w:val="28"/>
        </w:rPr>
        <w:t xml:space="preserve">23. Ping‐Jui, T.. Predictors of Venous Thromboembolism After Elective Metastatic Spinal Tumor Surgery　― Nationwide Readmissions Database Analysis ― / T. Ping‐Jui, K. Yu-Jen. – 2025.</w:t>
      </w:r>
      <w:bookmarkEnd w:id="635670"/>
    </w:p>
    <w:p>
      <w:pPr>
        <w:jc w:val="both"/>
        <w:spacing w:line="360" w:lineRule="auto"/>
      </w:pPr>
      <w:bookmarkStart w:name="_Source_24" w:id="287798"/>
      <w:r>
        <w:rPr>
          <w:rFonts w:ascii="Times New Roman" w:hAnsi="Times New Roman"/>
          <w:sz w:val="28"/>
        </w:rPr>
        <w:t xml:space="preserve">24. Rivaroxaban vs. enoxaparin for preventing venous thromboembolism after hip fracture operations: a retrospective cohort study / Z. Xiaofeng, W. Lifu, C. Yinhua [и др.]. – 2025.</w:t>
      </w:r>
      <w:bookmarkEnd w:id="287798"/>
    </w:p>
    <w:p>
      <w:pPr>
        <w:jc w:val="both"/>
        <w:spacing w:line="360" w:lineRule="auto"/>
      </w:pPr>
      <w:bookmarkStart w:name="_Source_25" w:id="501405"/>
      <w:r>
        <w:rPr>
          <w:rFonts w:ascii="Times New Roman" w:hAnsi="Times New Roman"/>
          <w:sz w:val="28"/>
        </w:rPr>
        <w:t xml:space="preserve">25. Analysis of the occurrence and influencing factors of deep vein thrombosis in the lower extremities after radical resection of Cervical Cancer / Z. Ling, M. S., W. Xiaoqian, Y. Tao. – 2025.</w:t>
      </w:r>
      <w:bookmarkEnd w:id="501405"/>
    </w:p>
    <w:p>
      <w:pPr>
        <w:jc w:val="both"/>
        <w:spacing w:line="360" w:lineRule="auto"/>
      </w:pPr>
      <w:bookmarkStart w:name="_Source_26" w:id="648320"/>
      <w:r>
        <w:rPr>
          <w:rFonts w:ascii="Times New Roman" w:hAnsi="Times New Roman"/>
          <w:sz w:val="28"/>
        </w:rPr>
        <w:t xml:space="preserve">26. The Effect of Platelet-Rich Plasma (PRP) on Wound Healing in High-Risk Patients Undergoing Abdominal Hysterectomy / B. Shaimaa, A. Ahmed, E. Hend [и др.]. – 2025.</w:t>
      </w:r>
      <w:bookmarkEnd w:id="648320"/>
    </w:p>
    <w:p>
      <w:pPr>
        <w:jc w:val="both"/>
        <w:spacing w:line="360" w:lineRule="auto"/>
      </w:pPr>
      <w:bookmarkStart w:name="_Source_27" w:id="161665"/>
      <w:r>
        <w:rPr>
          <w:rFonts w:ascii="Times New Roman" w:hAnsi="Times New Roman"/>
          <w:sz w:val="28"/>
        </w:rPr>
        <w:t xml:space="preserve">27. James M. Winfield. Epidemiology, patient outcome and complications after non‐operative management of hip fracture: a systematic review / M. Winfield James, M. Lynn, M. Iain. – 2025.</w:t>
      </w:r>
      <w:bookmarkEnd w:id="161665"/>
    </w:p>
    <w:p>
      <w:pPr>
        <w:jc w:val="both"/>
        <w:spacing w:line="360" w:lineRule="auto"/>
      </w:pPr>
      <w:bookmarkStart w:name="_Source_28" w:id="780592"/>
      <w:r>
        <w:rPr>
          <w:rFonts w:ascii="Times New Roman" w:hAnsi="Times New Roman"/>
          <w:sz w:val="28"/>
        </w:rPr>
        <w:t xml:space="preserve">28. Perioperative management of caesarean section for a pregnant woman with Sjögren's disease and pulmonary embolism: a case report / L. Fanghao, W. Duolao, S. Yuan [и др.]. – 2025.</w:t>
      </w:r>
      <w:bookmarkEnd w:id="780592"/>
    </w:p>
    <w:p>
      <w:pPr>
        <w:jc w:val="both"/>
        <w:spacing w:line="360" w:lineRule="auto"/>
      </w:pPr>
      <w:bookmarkStart w:name="_Source_29" w:id="299214"/>
      <w:r>
        <w:rPr>
          <w:rFonts w:ascii="Times New Roman" w:hAnsi="Times New Roman"/>
          <w:sz w:val="28"/>
        </w:rPr>
        <w:t xml:space="preserve">29. 5-Year Follow-Up of Advanced Therapy Use in High-Risk Diabetic Foot Ulcers / D. Margaret, S. Stephanie, P. Kattie, D. B. J.. – 2025.</w:t>
      </w:r>
      <w:bookmarkEnd w:id="299214"/>
    </w:p>
    <w:p>
      <w:pPr>
        <w:jc w:val="both"/>
        <w:spacing w:line="360" w:lineRule="auto"/>
      </w:pPr>
      <w:bookmarkStart w:name="_Source_30" w:id="576593"/>
      <w:r>
        <w:rPr>
          <w:rFonts w:ascii="Times New Roman" w:hAnsi="Times New Roman"/>
          <w:sz w:val="28"/>
        </w:rPr>
        <w:t xml:space="preserve">30. Ali, M.. WITHDRAWN: Perioperative Integration of Patient Blood Management into Anesthetic Pathways: A Systematic Review of Multidimensional Strategies for Transfusion Stewardship and Outcome Enhancement / M. Ali. – 2025.</w:t>
      </w:r>
      <w:bookmarkEnd w:id="576593"/>
    </w:p>
    <w:p>
      <w:pPr>
        <w:jc w:val="both"/>
        <w:spacing w:line="360" w:lineRule="auto"/>
      </w:pPr>
      <w:bookmarkStart w:name="_Source_31" w:id="751718"/>
      <w:r>
        <w:rPr>
          <w:rFonts w:ascii="Times New Roman" w:hAnsi="Times New Roman"/>
          <w:sz w:val="28"/>
        </w:rPr>
        <w:t xml:space="preserve">31. Usefulness of protocol-based pharmacotherapy management by pharmacists in cancer patients: a retrospective observational study / S. Satomi, H. Noriaki, S. Yuya [и др.]. – 2025.</w:t>
      </w:r>
      <w:bookmarkEnd w:id="751718"/>
    </w:p>
    <w:p>
      <w:pPr>
        <w:jc w:val="both"/>
        <w:spacing w:line="360" w:lineRule="auto"/>
      </w:pPr>
      <w:bookmarkStart w:name="_Source_32" w:id="249776"/>
      <w:r>
        <w:rPr>
          <w:rFonts w:ascii="Times New Roman" w:hAnsi="Times New Roman"/>
          <w:sz w:val="28"/>
        </w:rPr>
        <w:t xml:space="preserve">32. Technical Considerations and Preliminary Experience of Intraprocedural Aneurysm Sac Embolization During Fenestrated and Branched EVAR (Embo F/BEVAR Technique): A Case Series / X. Andrea, P. Fabio, G. Alessandro [и др.]. – 2025.</w:t>
      </w:r>
      <w:bookmarkEnd w:id="249776"/>
    </w:p>
    <w:p>
      <w:pPr>
        <w:jc w:val="both"/>
        <w:spacing w:line="360" w:lineRule="auto"/>
      </w:pPr>
      <w:bookmarkStart w:name="_Source_33" w:id="521862"/>
      <w:r>
        <w:rPr>
          <w:rFonts w:ascii="Times New Roman" w:hAnsi="Times New Roman"/>
          <w:sz w:val="28"/>
        </w:rPr>
        <w:t xml:space="preserve">33. Blunt cerebrovascular injury in trauma patients: an under-recognised injury pattern at Auckland City Hospital / S. Rebecca, A. Flint Samuel, H. D.R., C. Ian. – 2025.</w:t>
      </w:r>
      <w:bookmarkEnd w:id="521862"/>
    </w:p>
    <w:p>
      <w:pPr>
        <w:jc w:val="both"/>
        <w:spacing w:line="360" w:lineRule="auto"/>
      </w:pPr>
      <w:bookmarkStart w:name="_Source_34" w:id="581919"/>
      <w:r>
        <w:rPr>
          <w:rFonts w:ascii="Times New Roman" w:hAnsi="Times New Roman"/>
          <w:sz w:val="28"/>
        </w:rPr>
        <w:t xml:space="preserve">34. Depression and Anxiety are Associated with Increased Complications after Penile Prosthesis Surgery / C. Xu Mark, P. Connor, T. Wolff Dylan [и др.]. – 2025.</w:t>
      </w:r>
      <w:bookmarkEnd w:id="581919"/>
    </w:p>
    <w:p>
      <w:pPr>
        <w:jc w:val="both"/>
        <w:spacing w:line="360" w:lineRule="auto"/>
      </w:pPr>
      <w:bookmarkStart w:name="_Source_35" w:id="274677"/>
      <w:r>
        <w:rPr>
          <w:rFonts w:ascii="Times New Roman" w:hAnsi="Times New Roman"/>
          <w:sz w:val="28"/>
        </w:rPr>
        <w:t xml:space="preserve">35. A comparative review of current international atrial fibrillation guidelines from a primary care perspective / J. Jazlan, L. Sue, C. B. Hooi [и др.]. – 2025.</w:t>
      </w:r>
      <w:bookmarkEnd w:id="274677"/>
    </w:p>
    <w:p>
      <w:pPr>
        <w:jc w:val="both"/>
        <w:spacing w:line="360" w:lineRule="auto"/>
      </w:pPr>
      <w:bookmarkStart w:name="_Source_36" w:id="976532"/>
      <w:r>
        <w:rPr>
          <w:rFonts w:ascii="Times New Roman" w:hAnsi="Times New Roman"/>
          <w:sz w:val="28"/>
        </w:rPr>
        <w:t xml:space="preserve">36. Amna I. Alshamsi. 72 Integrating safety reporting and data insights to enhance patient care quality: the evolution of an automated IHI trigger system / I. Alshamsi Amna, A. Yomna, A. Zakaria. – 2025.</w:t>
      </w:r>
      <w:bookmarkEnd w:id="976532"/>
    </w:p>
    <w:p>
      <w:pPr>
        <w:jc w:val="both"/>
        <w:spacing w:line="360" w:lineRule="auto"/>
      </w:pPr>
      <w:bookmarkStart w:name="_Source_37" w:id="942150"/>
      <w:r>
        <w:rPr>
          <w:rFonts w:ascii="Times New Roman" w:hAnsi="Times New Roman"/>
          <w:sz w:val="28"/>
        </w:rPr>
        <w:t xml:space="preserve">37. Revolutionizing Cancer Care: The Role of 3D Printing in Personalized Oncology / A. Katamesh Ahmed, M. Subaiea Gehad, M. Mahmoud [и др.]. – 2025.</w:t>
      </w:r>
      <w:bookmarkEnd w:id="942150"/>
    </w:p>
    <w:p>
      <w:pPr>
        <w:jc w:val="both"/>
        <w:spacing w:line="360" w:lineRule="auto"/>
      </w:pPr>
      <w:bookmarkStart w:name="_Source_38" w:id="804223"/>
      <w:r>
        <w:rPr>
          <w:rFonts w:ascii="Times New Roman" w:hAnsi="Times New Roman"/>
          <w:sz w:val="28"/>
        </w:rPr>
        <w:t xml:space="preserve">38. Kun, X.. Prostatic artery embolisation in New Zealand: audit of local cases / X. Kun, B. Brendan. – 2025.</w:t>
      </w:r>
      <w:bookmarkEnd w:id="804223"/>
    </w:p>
    <w:p>
      <w:pPr>
        <w:jc w:val="both"/>
        <w:spacing w:line="360" w:lineRule="auto"/>
      </w:pPr>
      <w:bookmarkStart w:name="_Source_39" w:id="83623"/>
      <w:r>
        <w:rPr>
          <w:rFonts w:ascii="Times New Roman" w:hAnsi="Times New Roman"/>
          <w:sz w:val="28"/>
        </w:rPr>
        <w:t xml:space="preserve">39. Elizabeth A. Borowiec. Do Aspirin and Antiplatelets Need to Be Held for Most Otolaryngologic/Head and Neck Surgery? / A. Borowiec Elizabeth, V. Smith Richard. – 2025.</w:t>
      </w:r>
      <w:bookmarkEnd w:id="83623"/>
    </w:p>
    <w:p>
      <w:pPr>
        <w:jc w:val="both"/>
        <w:spacing w:line="360" w:lineRule="auto"/>
      </w:pPr>
      <w:bookmarkStart w:name="_Source_40" w:id="926864"/>
      <w:r>
        <w:rPr>
          <w:rFonts w:ascii="Times New Roman" w:hAnsi="Times New Roman"/>
          <w:sz w:val="28"/>
        </w:rPr>
        <w:t xml:space="preserve">40. Methamphetamine-Associated Cardiomyopathy and Cardioembolic Stroke: Brain–Heart–Gut Axis Crosstalk, Diagnostic Strategies, and Anticoagulation Challenges / L. Pei-Jung, W. Chia-Hui, H. Jen‐Hung [и др.]. – 2025.</w:t>
      </w:r>
      <w:bookmarkEnd w:id="926864"/>
    </w:p>
    <w:p>
      <w:pPr>
        <w:jc w:val="both"/>
        <w:spacing w:line="360" w:lineRule="auto"/>
      </w:pPr>
      <w:bookmarkStart w:name="_Source_41" w:id="380328"/>
      <w:r>
        <w:rPr>
          <w:rFonts w:ascii="Times New Roman" w:hAnsi="Times New Roman"/>
          <w:sz w:val="28"/>
        </w:rPr>
        <w:t xml:space="preserve">41. Agnieszka, R.. Comprehensive physiotherapy before and after abdominoplasty – a case study / R. Agnieszka. – 2025.</w:t>
      </w:r>
      <w:bookmarkEnd w:id="380328"/>
    </w:p>
    <w:p>
      <w:pPr>
        <w:jc w:val="both"/>
        <w:spacing w:line="360" w:lineRule="auto"/>
      </w:pPr>
      <w:bookmarkStart w:name="_Source_42" w:id="43594"/>
      <w:r>
        <w:rPr>
          <w:rFonts w:ascii="Times New Roman" w:hAnsi="Times New Roman"/>
          <w:sz w:val="28"/>
        </w:rPr>
        <w:t xml:space="preserve">42. Birupaksha, B.. Pediatric Hematopathology: Bone Marrow Disorders, Leukemias, Lymphomas, and Molecular Diagnostics / B. Birupaksha. – 2025.</w:t>
      </w:r>
      <w:bookmarkEnd w:id="43594"/>
    </w:p>
    <w:p>
      <w:pPr>
        <w:jc w:val="both"/>
        <w:spacing w:line="360" w:lineRule="auto"/>
      </w:pPr>
      <w:bookmarkStart w:name="_Source_43" w:id="88502"/>
      <w:r>
        <w:rPr>
          <w:rFonts w:ascii="Times New Roman" w:hAnsi="Times New Roman"/>
          <w:sz w:val="28"/>
        </w:rPr>
        <w:t xml:space="preserve">43. Vadim, B.. Early Radiological Outcomes of Imageless Robotic-Assisted Total Knee Arthroplasty with VELYS®: A Comparative Study of CPAK Varus vs. Valgus Phenotypes / B. Vadim, A. Artsiom. – 2025.</w:t>
      </w:r>
      <w:bookmarkEnd w:id="88502"/>
    </w:p>
    <w:p>
      <w:pPr>
        <w:jc w:val="both"/>
        <w:spacing w:line="360" w:lineRule="auto"/>
      </w:pPr>
      <w:bookmarkStart w:name="_Source_44" w:id="162163"/>
      <w:r>
        <w:rPr>
          <w:rFonts w:ascii="Times New Roman" w:hAnsi="Times New Roman"/>
          <w:sz w:val="28"/>
        </w:rPr>
        <w:t xml:space="preserve">44. Quality assurance using patient split samples: recommendations for primary healthcare laboratories / S. Anne, R. Eva, L. F. Anne [и др.]. – 2025.</w:t>
      </w:r>
      <w:bookmarkEnd w:id="162163"/>
    </w:p>
    <w:p>
      <w:pPr>
        <w:jc w:val="both"/>
        <w:spacing w:line="360" w:lineRule="auto"/>
      </w:pPr>
      <w:bookmarkStart w:name="_Source_45" w:id="347075"/>
      <w:r>
        <w:rPr>
          <w:rFonts w:ascii="Times New Roman" w:hAnsi="Times New Roman"/>
          <w:sz w:val="28"/>
        </w:rPr>
        <w:t xml:space="preserve">45. Adir, S.. Explainable Surgical Procedures Recommender System Leveraging Large Language Models / S. Adir, G. Maxim, L. Teddy. – 2025.</w:t>
      </w:r>
      <w:bookmarkEnd w:id="347075"/>
    </w:p>
    <w:p>
      <w:pPr>
        <w:jc w:val="both"/>
        <w:spacing w:line="360" w:lineRule="auto"/>
      </w:pPr>
      <w:bookmarkStart w:name="_Source_46" w:id="45014"/>
      <w:r>
        <w:rPr>
          <w:rFonts w:ascii="Times New Roman" w:hAnsi="Times New Roman"/>
          <w:sz w:val="28"/>
        </w:rPr>
        <w:t xml:space="preserve">46. Secondary Prevention of AFAIS: Deploying Traditional Regression, Machine Learning, and Deep Learning Models to Validate and Update CHA2DS2-VASc for 90-Day Recurrence / E. Simon Jenny, K. Łukasz, K. Michał, N. Maciej. – 2025.</w:t>
      </w:r>
      <w:bookmarkEnd w:id="45014"/>
    </w:p>
    <w:p>
      <w:pPr>
        <w:jc w:val="both"/>
        <w:spacing w:line="360" w:lineRule="auto"/>
      </w:pPr>
      <w:bookmarkStart w:name="_Source_47" w:id="886732"/>
      <w:r>
        <w:rPr>
          <w:rFonts w:ascii="Times New Roman" w:hAnsi="Times New Roman"/>
          <w:sz w:val="28"/>
        </w:rPr>
        <w:t xml:space="preserve">47. T., K. N.. Optimizing Discharge Processes to Alleviate Emergency Department Overcrowding: An Audit in a Central Malaysian Tertiary Hospital / K. N. T., A. K. Nurulalnissa, K. V. Suriya. – 2025.</w:t>
      </w:r>
      <w:bookmarkEnd w:id="886732"/>
    </w:p>
    <w:p>
      <w:pPr>
        <w:jc w:val="both"/>
        <w:spacing w:line="360" w:lineRule="auto"/>
      </w:pPr>
      <w:bookmarkStart w:name="_Source_48" w:id="140864"/>
      <w:r>
        <w:rPr>
          <w:rFonts w:ascii="Times New Roman" w:hAnsi="Times New Roman"/>
          <w:sz w:val="28"/>
        </w:rPr>
        <w:t xml:space="preserve">48. Huanjie, L.. Analysis and improvement measures of rational use of proton pump inhibitors for injection by clinical pharmacists / L. Huanjie, Y. Nannan, Y. Jiahui. – 2025.</w:t>
      </w:r>
      <w:bookmarkEnd w:id="140864"/>
    </w:p>
    <w:p>
      <w:pPr>
        <w:jc w:val="both"/>
        <w:spacing w:line="360" w:lineRule="auto"/>
      </w:pPr>
      <w:bookmarkStart w:name="_Source_49" w:id="633613"/>
      <w:r>
        <w:rPr>
          <w:rFonts w:ascii="Times New Roman" w:hAnsi="Times New Roman"/>
          <w:sz w:val="28"/>
        </w:rPr>
        <w:t xml:space="preserve">49. Muhammad, I.. Spinal Gout: A Rare but Serious Mimicker of Spinal Pathology—Report of Two Cases / I. Muhammad, G. Rajeesh, D. S. Rohan. – 2025.</w:t>
      </w:r>
      <w:bookmarkEnd w:id="633613"/>
    </w:p>
    <w:p>
      <w:pPr>
        <w:jc w:val="both"/>
        <w:spacing w:line="360" w:lineRule="auto"/>
      </w:pPr>
      <w:bookmarkStart w:name="_Source_50" w:id="608314"/>
      <w:r>
        <w:rPr>
          <w:rFonts w:ascii="Times New Roman" w:hAnsi="Times New Roman"/>
          <w:sz w:val="28"/>
        </w:rPr>
        <w:t xml:space="preserve">50. Hernán, C. D.. Critical View of the Guidelines or Guidelines for a Critical View. A New Scholastic Dogma? / C. D. Hernán. – 2025.</w:t>
      </w:r>
      <w:bookmarkEnd w:id="608314"/>
    </w:p>
    <w:p>
      <w:pPr>
        <w:jc w:val="both"/>
        <w:spacing w:line="360" w:lineRule="auto"/>
      </w:pPr>
      <w:bookmarkStart w:name="_Source_51" w:id="262524"/>
      <w:r>
        <w:rPr>
          <w:rFonts w:ascii="Times New Roman" w:hAnsi="Times New Roman"/>
          <w:sz w:val="28"/>
        </w:rPr>
        <w:t xml:space="preserve">51. Justin P. Reinert. Duration of Therapy With Amoxicillin/Clavulanate for Postoperative Antimicrobial Prophylaxis of Fractures of the Facial Skeleton: A Systematic Review and Meta-Analysis / P. Reinert Justin, N. Quach Vy, C. Sandra. – 2025.</w:t>
      </w:r>
      <w:bookmarkEnd w:id="262524"/>
    </w:p>
    <w:p>
      <w:pPr>
        <w:jc w:val="both"/>
        <w:spacing w:line="360" w:lineRule="auto"/>
      </w:pPr>
      <w:bookmarkStart w:name="_Source_52" w:id="908360"/>
      <w:r>
        <w:rPr>
          <w:rFonts w:ascii="Times New Roman" w:hAnsi="Times New Roman"/>
          <w:sz w:val="28"/>
        </w:rPr>
        <w:t xml:space="preserve">52. Clinical and Psychosocial Impact of Limited Mobility During the Interstage Period of Two-Stage Revision Arthroplasty for Prosthetic Joint Infection: A State-of-the-Art Review / K. Parvataneni Hari, F. Gray Chancellor, A. Prieto Hernan [и др.]. – 2025.</w:t>
      </w:r>
      <w:bookmarkEnd w:id="908360"/>
    </w:p>
    <w:p>
      <w:pPr>
        <w:jc w:val="both"/>
        <w:spacing w:line="360" w:lineRule="auto"/>
      </w:pPr>
      <w:bookmarkStart w:name="_Source_53" w:id="454713"/>
      <w:r>
        <w:rPr>
          <w:rFonts w:ascii="Times New Roman" w:hAnsi="Times New Roman"/>
          <w:sz w:val="28"/>
        </w:rPr>
        <w:t xml:space="preserve">53. Efficacy of Protocol-Based Pharmacotherapy Management in Switching of Antibiotic Administration Routes and Dose Adjustment Based on Renal Function: A Before-After Study / S. Yuki, T. Yudai, N. Shunsaku [и др.]. – 2025.</w:t>
      </w:r>
      <w:bookmarkEnd w:id="454713"/>
    </w:p>
    <w:p>
      <w:pPr>
        <w:jc w:val="both"/>
        <w:spacing w:line="360" w:lineRule="auto"/>
      </w:pPr>
      <w:bookmarkStart w:name="_Source_54" w:id="726930"/>
      <w:r>
        <w:rPr>
          <w:rFonts w:ascii="Times New Roman" w:hAnsi="Times New Roman"/>
          <w:sz w:val="28"/>
        </w:rPr>
        <w:t xml:space="preserve">54. Emad, H.. Enhancing efficiency in length of stay for ventricular assist device patients during routine right heart catheterization / H. Emad, A. Ahlam, A. Mosaad. – 2025.</w:t>
      </w:r>
      <w:bookmarkEnd w:id="726930"/>
    </w:p>
    <w:p>
      <w:pPr>
        <w:jc w:val="both"/>
        <w:spacing w:line="360" w:lineRule="auto"/>
      </w:pPr>
      <w:bookmarkStart w:name="_Source_55" w:id="646521"/>
      <w:r>
        <w:rPr>
          <w:rFonts w:ascii="Times New Roman" w:hAnsi="Times New Roman"/>
          <w:sz w:val="28"/>
        </w:rPr>
        <w:t xml:space="preserve">55. Valgus Considered: Redefining Total Knee Arthroplasty Alignment for Optimal Patient Outcomes / Z. Runze, S. Hao, W. Zhanqi [и др.]. – 2025.</w:t>
      </w:r>
      <w:bookmarkEnd w:id="646521"/>
    </w:p>
    <w:p>
      <w:pPr>
        <w:jc w:val="both"/>
        <w:spacing w:line="360" w:lineRule="auto"/>
      </w:pPr>
      <w:bookmarkStart w:name="_Source_56" w:id="594042"/>
      <w:r>
        <w:rPr>
          <w:rFonts w:ascii="Times New Roman" w:hAnsi="Times New Roman"/>
          <w:sz w:val="28"/>
        </w:rPr>
        <w:t xml:space="preserve">56. “I had to take a ‘dead year’ to undergo surgeries,” the Lived Experiences of University Students with Sickle Cell Disease, an interpretative phenomenological analysis / N. Vivian, A. Active, T. M. Kevina [и др.]. – 2025.</w:t>
      </w:r>
      <w:bookmarkEnd w:id="594042"/>
    </w:p>
    <w:p>
      <w:pPr>
        <w:jc w:val="both"/>
        <w:spacing w:line="360" w:lineRule="auto"/>
      </w:pPr>
      <w:bookmarkStart w:name="_Source_57" w:id="492482"/>
      <w:r>
        <w:rPr>
          <w:rFonts w:ascii="Times New Roman" w:hAnsi="Times New Roman"/>
          <w:sz w:val="28"/>
        </w:rPr>
        <w:t xml:space="preserve">57. Characteristics of patients with idiopathic normal pressure hydrocephalus for whom neurosurgeons hesitate to perform shunt surgery: a nationwide hospital-based survey in Japan / K. Ryo, K. Hiroaki, U. Tetsuya [и др.]. – 2025.</w:t>
      </w:r>
      <w:bookmarkEnd w:id="492482"/>
    </w:p>
    <w:p>
      <w:pPr>
        <w:jc w:val="both"/>
        <w:spacing w:line="360" w:lineRule="auto"/>
      </w:pPr>
      <w:bookmarkStart w:name="_Source_58" w:id="796237"/>
      <w:r>
        <w:rPr>
          <w:rFonts w:ascii="Times New Roman" w:hAnsi="Times New Roman"/>
          <w:sz w:val="28"/>
        </w:rPr>
        <w:t xml:space="preserve">58. Evaluation of Results of Arthroscopic Patellar Denervation for Treatment of Patellofemoral Pain / S. M. Z. EL, D. Amr, S. Mohamed, S. E. B. Abdel. – 2025.</w:t>
      </w:r>
      <w:bookmarkEnd w:id="796237"/>
    </w:p>
    <w:p>
      <w:pPr>
        <w:jc w:val="both"/>
        <w:spacing w:line="360" w:lineRule="auto"/>
      </w:pPr>
      <w:bookmarkStart w:name="_Source_59" w:id="506711"/>
      <w:r>
        <w:rPr>
          <w:rFonts w:ascii="Times New Roman" w:hAnsi="Times New Roman"/>
          <w:sz w:val="28"/>
        </w:rPr>
        <w:t xml:space="preserve">59. A novel surgical technique for the treatment of continuous-type ossification of the posterior longitudinal ligament with K-line negative / Z. Shuang, Y. Haozhi, L. Guoqiang [и др.]. – 2025.</w:t>
      </w:r>
      <w:bookmarkEnd w:id="506711"/>
    </w:p>
    <w:p>
      <w:pPr>
        <w:jc w:val="both"/>
        <w:spacing w:line="360" w:lineRule="auto"/>
      </w:pPr>
      <w:bookmarkStart w:name="_Source_60" w:id="879054"/>
      <w:r>
        <w:rPr>
          <w:rFonts w:ascii="Times New Roman" w:hAnsi="Times New Roman"/>
          <w:sz w:val="28"/>
        </w:rPr>
        <w:t xml:space="preserve">60. 2025 ESC Guidelines for the management of myocarditis and pericarditis / S. Jeanette, C. Valentino, G. Jan [и др.]. – 2025.</w:t>
      </w:r>
      <w:bookmarkEnd w:id="879054"/>
    </w:p>
    <w:p>
      <w:r>
        <w:t/>
      </w:r>
    </w:p>
  </w:body>
</w:document>
</file>

<file path=word/footer1.xml><?xml version="1.0" encoding="utf-8"?>
<w:ftr xmlns:w="http://schemas.openxmlformats.org/wordprocessingml/2006/main">
  <w:p>
    <w:pPr>
      <w:jc w:val="center"/>
    </w:pPr>
    <w:r>
      <w:fldSimple w:instr="PAGE"/>
    </w:r>
  </w:p>
</w:ftr>
</file>

<file path=word/settings.xml><?xml version="1.0" encoding="utf-8"?>
<w:settings xmlns:w="http://schemas.openxmlformats.org/wordprocessingml/2006/main">
  <w:compat>
    <w:compatSetting w:name="compatibilityMode" w:uri="http://schemas.microsoft.com/office/word" w:val="15"/>
  </w:compat>
  <w:updateFields w:val="true"/>
</w:settings>
</file>

<file path=word/styles.xml><?xml version="1.0" encoding="utf-8"?>
<w:styles xmlns:w="http://schemas.openxmlformats.org/wordprocessingml/2006/main">
  <w:style w:type="paragraph" w:styleId="Heading1">
    <w:name w:val="Heading 1"/>
    <w:basedOn w:val="Normal"/>
    <w:next w:val="Normal"/>
    <w:pPr>
      <w:outlineLvl w:val="0"/>
    </w:pPr>
  </w:style>
  <w:style w:type="paragraph" w:styleId="Heading2">
    <w:name w:val="Heading 2"/>
    <w:basedOn w:val="Normal"/>
    <w:next w:val="Normal"/>
    <w:pPr>
      <w:outlineLvl w:val="1"/>
    </w:pPr>
  </w:style>
  <w:style w:type="paragraph" w:styleId="TOC1">
    <w:name w:val="TOC 1"/>
  </w:style>
  <w:style w:type="paragraph" w:styleId="TOC2">
    <w:name w:val="TOC 2"/>
  </w:style>
  <w:style w:type="character" w:styleId="Hyperlink">
    <w:name w:val="Hyperlink"/>
    <w:rPr>
      <w:color w:val="0000FF"/>
      <w:u w:val="single"/>
    </w:rPr>
  </w:style>
</w:styles>
</file>

<file path=word/_rels/document.xml.rels>&#65279;<?xml version="1.0" encoding="utf-8"?><Relationships xmlns="http://schemas.openxmlformats.org/package/2006/relationships"><Relationship Type="http://schemas.openxmlformats.org/officeDocument/2006/relationships/settings" Target="/word/settings.xml" Id="Ra6d7f9f09e61409b" /><Relationship Type="http://schemas.openxmlformats.org/officeDocument/2006/relationships/styles" Target="/word/styles.xml" Id="R4ea010fcaa834b5c" /><Relationship Type="http://schemas.openxmlformats.org/officeDocument/2006/relationships/footer" Target="/word/footer1.xml" Id="R97179d59cfd84b1f" /></Relationships>
</file>

<file path=docProps/app.xml><?xml version="1.0" encoding="utf-8"?>
<ap:Properties xmlns:vt="http://schemas.openxmlformats.org/officeDocument/2006/docPropsVTypes" xmlns:ap="http://schemas.openxmlformats.org/officeDocument/2006/extended-properties">
  <ap:TotalTime>558</ap:TotalTime>
  <ap:Application>Microsoft Office Word</ap:Application>
</ap:Properties>
</file>