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Default Extension="psmdcp"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footer1.xml" ContentType="application/vnd.openxmlformats-officedocument.wordprocessingml.footer+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officeDocument" Target="/word/document.xml" Id="Rae00217ff63641c2" /><Relationship Type="http://schemas.openxmlformats.org/officeDocument/2006/relationships/extended-properties" Target="/docProps/app.xml" Id="Rd9ed146c934c4737" /><Relationship Type="http://schemas.openxmlformats.org/package/2006/relationships/metadata/core-properties" Target="/package/services/metadata/core-properties/fae8f882c7fd4c33a806c3cc7ce4662b.psmdcp" Id="R1135ee8ee9cf43df" /></Relationships>
</file>

<file path=word/document.xml><?xml version="1.0" encoding="utf-8"?>
<w:document xmlns:w="http://schemas.openxmlformats.org/wordprocessingml/2006/main">
  <w:body>
    <w:sectPr>
      <w:pgSz w:w="11906" w:h="16838"/>
      <w:pgMar w:top="1134" w:right="567" w:bottom="1134" w:left="1701" w:header="708" w:footer="708" w:gutter="0"/>
      <w:footerReference xmlns:r="http://schemas.openxmlformats.org/officeDocument/2006/relationships" w:type="default" r:id="R946aa9e45f99437b"/>
    </w:sectPr>
    <w:p>
      <w:pPr>
        <w:jc w:val="center"/>
        <w:spacing w:after="240"/>
        <w:outlineLvl w:val="0"/>
      </w:pPr>
      <w:r>
        <w:rPr>
          <w:rFonts w:ascii="Times New Roman" w:hAnsi="Times New Roman"/>
          <w:b/>
          <w:sz w:val="32"/>
        </w:rPr>
        <w:t xml:space="preserve">Модернизация РЗА фидера 10 кВ с двигательной нагрузкой: расчёт уставок, селективность, проверка чувствительности</w:t>
      </w:r>
    </w:p>
    <w:p>
      <w:r>
        <w:t/>
      </w:r>
    </w:p>
    <w:p>
      <w:pPr>
        <w:jc w:val="center"/>
        <w:spacing w:after="240"/>
      </w:pPr>
      <w:r>
        <w:rPr>
          <w:rFonts w:ascii="Times New Roman" w:hAnsi="Times New Roman"/>
          <w:b/>
          <w:sz w:val="28"/>
        </w:rPr>
        <w:t>СОДЕРЖАНИЕ</w:t>
      </w:r>
    </w:p>
    <w:p>
      <w:r>
        <w:fldChar w:fldCharType="begin"/>
      </w:r>
      <w:r>
        <w:instrText xml:space="preserve"> TOC \o "1-2" \h \z \u </w:instrText>
      </w:r>
      <w:r>
        <w:fldChar w:fldCharType="separate"/>
      </w:r>
    </w:p>
    <w:p>
      <w:pPr>
        <w:pStyle w:val="TOC1"/>
        <w:ind w:left="0"/>
      </w:pPr>
      <w:r>
        <w:t>Введение</w:t>
      </w:r>
    </w:p>
    <w:p>
      <w:pPr>
        <w:pStyle w:val="TOC2"/>
        <w:ind w:left="360"/>
      </w:pPr>
      <w:r>
        <w:t>Цель и задачи выпускной квалификационной работы</w:t>
      </w:r>
    </w:p>
    <w:p>
      <w:pPr>
        <w:pStyle w:val="TOC2"/>
        <w:ind w:left="360"/>
      </w:pPr>
      <w:r>
        <w:t>Объект и предмет исследования</w:t>
      </w:r>
    </w:p>
    <w:p>
      <w:pPr>
        <w:pStyle w:val="TOC2"/>
        <w:ind w:left="360"/>
      </w:pPr>
      <w:r>
        <w:t>Методы исследования и практическая значимость</w:t>
      </w:r>
    </w:p>
    <w:p>
      <w:pPr>
        <w:pStyle w:val="TOC1"/>
        <w:ind w:left="0"/>
      </w:pPr>
      <w:r>
        <w:t>Характеристика системы электроснабжения и фидера 10 кВ с двигательной нагрузкой</w:t>
      </w:r>
    </w:p>
    <w:p>
      <w:pPr>
        <w:pStyle w:val="TOC2"/>
        <w:ind w:left="360"/>
      </w:pPr>
      <w:r>
        <w:t>Общая характеристика системы электроснабжения предприятия</w:t>
      </w:r>
    </w:p>
    <w:p>
      <w:pPr>
        <w:pStyle w:val="TOC2"/>
        <w:ind w:left="360"/>
      </w:pPr>
      <w:r>
        <w:t>Схема электроснабжения фидера 10 кВ</w:t>
      </w:r>
    </w:p>
    <w:p>
      <w:pPr>
        <w:pStyle w:val="TOC2"/>
        <w:ind w:left="360"/>
      </w:pPr>
      <w:r>
        <w:t>Характеристика двигательной нагрузки фидера</w:t>
      </w:r>
    </w:p>
    <w:p>
      <w:pPr>
        <w:pStyle w:val="TOC2"/>
        <w:ind w:left="360"/>
      </w:pPr>
      <w:r>
        <w:t>Режимы работы электродвигателей и особенности пусковых токов</w:t>
      </w:r>
    </w:p>
    <w:p>
      <w:pPr>
        <w:pStyle w:val="TOC2"/>
        <w:ind w:left="360"/>
      </w:pPr>
      <w:r>
        <w:t>Анализ существующей системы релейной защиты и автоматики</w:t>
      </w:r>
    </w:p>
    <w:p>
      <w:pPr>
        <w:pStyle w:val="TOC2"/>
        <w:ind w:left="360"/>
      </w:pPr>
      <w:r>
        <w:t>Обоснование необходимости модернизации РЗА</w:t>
      </w:r>
    </w:p>
    <w:p>
      <w:pPr>
        <w:pStyle w:val="TOC1"/>
        <w:ind w:left="0"/>
      </w:pPr>
      <w:r>
        <w:t>Расчет параметров электрической сети и токов короткого замыкания</w:t>
      </w:r>
    </w:p>
    <w:p>
      <w:pPr>
        <w:pStyle w:val="TOC2"/>
        <w:ind w:left="360"/>
      </w:pPr>
      <w:r>
        <w:t>Расчет параметров схемы замещения сети 10 кВ</w:t>
      </w:r>
    </w:p>
    <w:p>
      <w:pPr>
        <w:pStyle w:val="TOC2"/>
        <w:ind w:left="360"/>
      </w:pPr>
      <w:r>
        <w:t>Определение сопротивлений элементов системы электроснабжения</w:t>
      </w:r>
    </w:p>
    <w:p>
      <w:pPr>
        <w:pStyle w:val="TOC2"/>
        <w:ind w:left="360"/>
      </w:pPr>
      <w:r>
        <w:t>Расчет токов трехфазного короткого замыкания</w:t>
      </w:r>
    </w:p>
    <w:p>
      <w:pPr>
        <w:pStyle w:val="TOC2"/>
        <w:ind w:left="360"/>
      </w:pPr>
      <w:r>
        <w:t>Расчет токов двухфазного короткого замыкания</w:t>
      </w:r>
    </w:p>
    <w:p>
      <w:pPr>
        <w:pStyle w:val="TOC2"/>
        <w:ind w:left="360"/>
      </w:pPr>
      <w:r>
        <w:t>Расчет токов однофазного замыкания на землю</w:t>
      </w:r>
    </w:p>
    <w:p>
      <w:pPr>
        <w:pStyle w:val="TOC2"/>
        <w:ind w:left="360"/>
      </w:pPr>
      <w:r>
        <w:t>Определение минимальных токов короткого замыкания</w:t>
      </w:r>
    </w:p>
    <w:p>
      <w:pPr>
        <w:pStyle w:val="TOC1"/>
        <w:ind w:left="0"/>
      </w:pPr>
      <w:r>
        <w:t>Выбор современных устройств релейной защиты и автоматики</w:t>
      </w:r>
    </w:p>
    <w:p>
      <w:pPr>
        <w:pStyle w:val="TOC2"/>
        <w:ind w:left="360"/>
      </w:pPr>
      <w:r>
        <w:t>Анализ современных микропроцессорных терминалов защиты</w:t>
      </w:r>
    </w:p>
    <w:p>
      <w:pPr>
        <w:pStyle w:val="TOC2"/>
        <w:ind w:left="360"/>
      </w:pPr>
      <w:r>
        <w:t>Требования к устройствам РЗА для фидеров с двигательной нагрузкой</w:t>
      </w:r>
    </w:p>
    <w:p>
      <w:pPr>
        <w:pStyle w:val="TOC2"/>
        <w:ind w:left="360"/>
      </w:pPr>
      <w:r>
        <w:t>Сравнительный анализ терминалов различных производителей</w:t>
      </w:r>
    </w:p>
    <w:p>
      <w:pPr>
        <w:pStyle w:val="TOC2"/>
        <w:ind w:left="360"/>
      </w:pPr>
      <w:r>
        <w:t>Выбор и обоснование типа микропроцессорного терминала защиты</w:t>
      </w:r>
    </w:p>
    <w:p>
      <w:pPr>
        <w:pStyle w:val="TOC2"/>
        <w:ind w:left="360"/>
      </w:pPr>
      <w:r>
        <w:t>Технические характеристики выбранного устройства РЗА</w:t>
      </w:r>
    </w:p>
    <w:p>
      <w:pPr>
        <w:pStyle w:val="TOC1"/>
        <w:ind w:left="0"/>
      </w:pPr>
      <w:r>
        <w:t>Расчет уставок релейной защиты фидера 10 кВ</w:t>
      </w:r>
    </w:p>
    <w:p>
      <w:pPr>
        <w:pStyle w:val="TOC2"/>
        <w:ind w:left="360"/>
      </w:pPr>
      <w:r>
        <w:t>Расчет уставок максимальной токовой защиты</w:t>
      </w:r>
    </w:p>
    <w:p>
      <w:pPr>
        <w:pStyle w:val="TOC2"/>
        <w:ind w:left="360"/>
      </w:pPr>
      <w:r>
        <w:t>Расчет уставок токовой отсечки</w:t>
      </w:r>
    </w:p>
    <w:p>
      <w:pPr>
        <w:pStyle w:val="TOC2"/>
        <w:ind w:left="360"/>
      </w:pPr>
      <w:r>
        <w:t>Расчет уставок защиты от перегрузки</w:t>
      </w:r>
    </w:p>
    <w:p>
      <w:pPr>
        <w:pStyle w:val="TOC2"/>
        <w:ind w:left="360"/>
      </w:pPr>
      <w:r>
        <w:t>Расчет уставок защиты минимального напряжения</w:t>
      </w:r>
    </w:p>
    <w:p>
      <w:pPr>
        <w:pStyle w:val="TOC2"/>
        <w:ind w:left="360"/>
      </w:pPr>
      <w:r>
        <w:t>Расчет уставок защиты от однофазных замыканий на землю</w:t>
      </w:r>
    </w:p>
    <w:p>
      <w:pPr>
        <w:pStyle w:val="TOC2"/>
        <w:ind w:left="360"/>
      </w:pPr>
      <w:r>
        <w:t>Учет пусковых токов электродвигателей при выборе уставок</w:t>
      </w:r>
    </w:p>
    <w:p>
      <w:pPr>
        <w:pStyle w:val="TOC2"/>
        <w:ind w:left="360"/>
      </w:pPr>
      <w:r>
        <w:t>Расчет выдержек времени срабатывания защит</w:t>
      </w:r>
    </w:p>
    <w:p>
      <w:pPr>
        <w:pStyle w:val="TOC1"/>
        <w:ind w:left="0"/>
      </w:pPr>
      <w:r>
        <w:t>Проверка селективности действия релейной защиты</w:t>
      </w:r>
    </w:p>
    <w:p>
      <w:pPr>
        <w:pStyle w:val="TOC2"/>
        <w:ind w:left="360"/>
      </w:pPr>
      <w:r>
        <w:t>Принципы обеспечения селективности защит в сетях 10 кВ</w:t>
      </w:r>
    </w:p>
    <w:p>
      <w:pPr>
        <w:pStyle w:val="TOC2"/>
        <w:ind w:left="360"/>
      </w:pPr>
      <w:r>
        <w:t>Проверка селективности по току</w:t>
      </w:r>
    </w:p>
    <w:p>
      <w:pPr>
        <w:pStyle w:val="TOC2"/>
        <w:ind w:left="360"/>
      </w:pPr>
      <w:r>
        <w:t>Проверка селективности по времени</w:t>
      </w:r>
    </w:p>
    <w:p>
      <w:pPr>
        <w:pStyle w:val="TOC2"/>
        <w:ind w:left="360"/>
      </w:pPr>
      <w:r>
        <w:t>Построение карты селективности защит</w:t>
      </w:r>
    </w:p>
    <w:p>
      <w:pPr>
        <w:pStyle w:val="TOC2"/>
        <w:ind w:left="360"/>
      </w:pPr>
      <w:r>
        <w:t>Анализ результатов проверки селективности</w:t>
      </w:r>
    </w:p>
    <w:p>
      <w:pPr>
        <w:pStyle w:val="TOC1"/>
        <w:ind w:left="0"/>
      </w:pPr>
      <w:r>
        <w:t>Проверка чувствительности релейной защиты</w:t>
      </w:r>
    </w:p>
    <w:p>
      <w:pPr>
        <w:pStyle w:val="TOC2"/>
        <w:ind w:left="360"/>
      </w:pPr>
      <w:r>
        <w:t>Требования к коэффициентам чувствительности защит</w:t>
      </w:r>
    </w:p>
    <w:p>
      <w:pPr>
        <w:pStyle w:val="TOC2"/>
        <w:ind w:left="360"/>
      </w:pPr>
      <w:r>
        <w:t>Проверка чувствительности максимальной токовой защиты</w:t>
      </w:r>
    </w:p>
    <w:p>
      <w:pPr>
        <w:pStyle w:val="TOC2"/>
        <w:ind w:left="360"/>
      </w:pPr>
      <w:r>
        <w:t>Проверка чувствительности токовой отсечки</w:t>
      </w:r>
    </w:p>
    <w:p>
      <w:pPr>
        <w:pStyle w:val="TOC2"/>
        <w:ind w:left="360"/>
      </w:pPr>
      <w:r>
        <w:t>Проверка чувствительности защиты от замыканий на землю</w:t>
      </w:r>
    </w:p>
    <w:p>
      <w:pPr>
        <w:pStyle w:val="TOC2"/>
        <w:ind w:left="360"/>
      </w:pPr>
      <w:r>
        <w:t>Анализ результатов проверки чувствительности</w:t>
      </w:r>
    </w:p>
    <w:p>
      <w:pPr>
        <w:pStyle w:val="TOC1"/>
        <w:ind w:left="0"/>
      </w:pPr>
      <w:r>
        <w:t>Разработка схемы модернизированной системы РЗА</w:t>
      </w:r>
    </w:p>
    <w:p>
      <w:pPr>
        <w:pStyle w:val="TOC2"/>
        <w:ind w:left="360"/>
      </w:pPr>
      <w:r>
        <w:t>Принципиальная схема подключения терминала защиты</w:t>
      </w:r>
    </w:p>
    <w:p>
      <w:pPr>
        <w:pStyle w:val="TOC2"/>
        <w:ind w:left="360"/>
      </w:pPr>
      <w:r>
        <w:t>Схема вторичных цепей измерительных трансформаторов</w:t>
      </w:r>
    </w:p>
    <w:p>
      <w:pPr>
        <w:pStyle w:val="TOC2"/>
        <w:ind w:left="360"/>
      </w:pPr>
      <w:r>
        <w:t>Схема оперативных цепей и сигнализации</w:t>
      </w:r>
    </w:p>
    <w:p>
      <w:pPr>
        <w:pStyle w:val="TOC2"/>
        <w:ind w:left="360"/>
      </w:pPr>
      <w:r>
        <w:t>Интеграция системы РЗА в АСУ ТП предприятия</w:t>
      </w:r>
    </w:p>
    <w:p>
      <w:pPr>
        <w:pStyle w:val="TOC1"/>
        <w:ind w:left="0"/>
      </w:pPr>
      <w:r>
        <w:t>Технико-экономическое обоснование модернизации</w:t>
      </w:r>
    </w:p>
    <w:p>
      <w:pPr>
        <w:pStyle w:val="TOC2"/>
        <w:ind w:left="360"/>
      </w:pPr>
      <w:r>
        <w:t>Смета затрат на модернизацию системы РЗА</w:t>
      </w:r>
    </w:p>
    <w:p>
      <w:pPr>
        <w:pStyle w:val="TOC2"/>
        <w:ind w:left="360"/>
      </w:pPr>
      <w:r>
        <w:t>Расчет экономического эффекта от внедрения</w:t>
      </w:r>
    </w:p>
    <w:p>
      <w:pPr>
        <w:pStyle w:val="TOC2"/>
        <w:ind w:left="360"/>
      </w:pPr>
      <w:r>
        <w:t>Определение срока окупаемости проекта</w:t>
      </w:r>
    </w:p>
    <w:p>
      <w:pPr>
        <w:pStyle w:val="TOC2"/>
        <w:ind w:left="360"/>
      </w:pPr>
      <w:r>
        <w:t>Оценка повышения надежности электроснабжения</w:t>
      </w:r>
    </w:p>
    <w:p>
      <w:pPr>
        <w:pStyle w:val="TOC1"/>
        <w:ind w:left="0"/>
      </w:pPr>
      <w:r>
        <w:t>Заключение</w:t>
      </w:r>
    </w:p>
    <w:p>
      <w:pPr>
        <w:pStyle w:val="TOC2"/>
        <w:ind w:left="360"/>
      </w:pPr>
      <w:r>
        <w:t>Основные результаты выполненной работы</w:t>
      </w:r>
    </w:p>
    <w:p>
      <w:pPr>
        <w:pStyle w:val="TOC2"/>
        <w:ind w:left="360"/>
      </w:pPr>
      <w:r>
        <w:t>Выводы по модернизации системы РЗА</w:t>
      </w:r>
    </w:p>
    <w:p>
      <w:pPr>
        <w:pStyle w:val="TOC2"/>
        <w:ind w:left="360"/>
      </w:pPr>
      <w:r>
        <w:t>Рекомендации по внедрению и эксплуатации</w:t>
      </w:r>
    </w:p>
    <w:p>
      <w:pPr>
        <w:pStyle w:val="TOC1"/>
        <w:ind w:left="0"/>
      </w:pPr>
      <w:r>
        <w:t>Список использованных источников</w:t>
      </w:r>
    </w:p>
    <w:p>
      <w:r>
        <w:fldChar w:fldCharType="end"/>
      </w:r>
    </w:p>
    <w:p>
      <w:r>
        <w:t/>
      </w:r>
    </w:p>
    <w:p>
      <w:r>
        <w:br w:type="page"/>
      </w:r>
    </w:p>
    <w:p>
      <w:pPr>
        <w:pStyle w:val="Heading1"/>
        <w:jc w:val="center"/>
        <w:spacing w:before="240" w:after="240"/>
      </w:pPr>
      <w:r>
        <w:rPr>
          <w:rFonts w:ascii="Times New Roman" w:hAnsi="Times New Roman"/>
          <w:b/>
          <w:sz w:val="28"/>
        </w:rPr>
        <w:t xml:space="preserve">ВВЕДЕНИЕ</w:t>
      </w:r>
    </w:p>
    <w:p>
      <w:pPr>
        <w:jc w:val="both"/>
        <w:ind w:firstLine="708"/>
        <w:spacing w:line="360" w:lineRule="auto"/>
      </w:pPr>
      <w:r>
        <w:rPr>
          <w:rFonts w:ascii="Times New Roman" w:hAnsi="Times New Roman"/>
          <w:sz w:val="28"/>
        </w:rPr>
        <w:t xml:space="preserve">Современные системы электроснабжения промышленных предприятий характеризуются высокой степенью автоматизации и насыщенностью электродвигательной нагрузкой, что предъявляет особые требования к надежности и селективности работы релейной защиты и автоматики. Фидеры 10 кВ, питающие двигательную нагрузку, представляют собой критически важные элементы распределительных сетей, обеспечивающие бесперебойное функционирование технологических процессов. Отказ или неправильная работа защит таких фидеров может привести к значительным экономическим потерям, связанным с остановкой производства, повреждением дорогостоящего оборудования и нарушением технологических циклов.</w:t>
      </w:r>
    </w:p>
    <w:p>
      <w:pPr>
        <w:jc w:val="both"/>
        <w:ind w:firstLine="708"/>
        <w:spacing w:line="360" w:lineRule="auto"/>
      </w:pPr>
      <w:r>
        <w:rPr>
          <w:rFonts w:ascii="Times New Roman" w:hAnsi="Times New Roman"/>
          <w:sz w:val="28"/>
        </w:rPr>
        <w:t xml:space="preserve">Актуальность модернизации устройств релейной защиты и автоматики обусловлена несколькими факторами. Во-первых, значительная часть эксплуатируемых в настоящее время защит выполнена на электромеханической и микропроцессорной элементной базе первых поколений, которая морально и физически устарела. Такие устройства характеризуются ограниченными функциональными возможностями, недостаточной точностью срабатывания, сложностью настройки и обслуживания. Во-вторых, современные микропроцессорные терминалы защиты обладают расширенным набором функций, включая самодиагностику, регистрацию аварийных событий, возможность дистанционного управления и интеграции в автоматизированные системы диспетчерского управления.</w:t>
      </w:r>
    </w:p>
    <w:p>
      <w:pPr>
        <w:jc w:val="both"/>
        <w:ind w:firstLine="708"/>
        <w:spacing w:line="360" w:lineRule="auto"/>
      </w:pPr>
      <w:r>
        <w:rPr>
          <w:rFonts w:ascii="Times New Roman" w:hAnsi="Times New Roman"/>
          <w:sz w:val="28"/>
        </w:rPr>
        <w:t xml:space="preserve">Особую сложность представляет защита фидеров с двигательной нагрузкой, поскольку пусковые токи асинхронных двигателей в 5-7 раз превышают номинальные значения, что требует тщательного согласования уставок защит для обеспечения селективности и предотвращения ложных срабатываний. Кроме того, при коротких замыканиях в сетях с двигательной нагрузкой возникает подпитка места повреждения от электродвигателей, работающих в генераторном режиме, что необходимо учитывать при расчете токов короткого замыкания и проверке чувствительности защит. Неправильный выбор уставок может привести как к излишним отключениям при нормальных режимах работы, так и к отказу защиты при аварийных ситуациях.</w:t>
      </w:r>
    </w:p>
    <w:p>
      <w:pPr>
        <w:jc w:val="both"/>
        <w:ind w:firstLine="708"/>
        <w:spacing w:line="360" w:lineRule="auto"/>
      </w:pPr>
      <w:r>
        <w:rPr>
          <w:rFonts w:ascii="Times New Roman" w:hAnsi="Times New Roman"/>
          <w:sz w:val="28"/>
        </w:rPr>
        <w:t xml:space="preserve">Переход на современные цифровые устройства РЗА позволяет не только повысить надежность электроснабжения, но и реализовать интеллектуальные алгоритмы защиты, адаптирующиеся к изменяющимся режимам работы сети. Возможность точной настройки параметров срабатывания, использование комбинированных критериев отключения и интеграция с системами мониторинга обеспечивают качественно новый уровень защиты электрооборудования. В условиях ужесточения требований к энергоэффективности и непрерывности производственных процессов модернизация систем РЗА становится необходимым условием обеспечения конкурентоспособности промышленных предприятий.</w:t>
      </w:r>
    </w:p>
    <w:p>
      <w:pPr>
        <w:pStyle w:val="Heading2"/>
        <w:spacing w:before="240" w:after="120"/>
      </w:pPr>
      <w:r>
        <w:rPr>
          <w:rFonts w:ascii="Times New Roman" w:hAnsi="Times New Roman"/>
          <w:b/>
          <w:sz w:val="28"/>
        </w:rPr>
        <w:t xml:space="preserve">Цель и задачи выпускной квалификационной работы</w:t>
      </w:r>
    </w:p>
    <w:p>
      <w:pPr>
        <w:jc w:val="both"/>
        <w:ind w:firstLine="708"/>
        <w:spacing w:line="360" w:lineRule="auto"/>
      </w:pPr>
      <w:r>
        <w:rPr>
          <w:rFonts w:ascii="Times New Roman" w:hAnsi="Times New Roman"/>
          <w:sz w:val="28"/>
        </w:rPr>
        <w:t xml:space="preserve">Целью данной выпускной квалификационной работы является разработка проекта модернизации системы релейной защиты и автоматики фидера 10 кВ с двигательной нагрузкой на основе современных микропроцессорных терминалов с расчетом уставок, обеспечением селективности и проверкой чувствительности защит.</w:t>
      </w:r>
    </w:p>
    <w:p>
      <w:pPr>
        <w:jc w:val="both"/>
        <w:ind w:firstLine="708"/>
        <w:spacing w:line="360" w:lineRule="auto"/>
      </w:pPr>
      <w:r>
        <w:rPr>
          <w:rFonts w:ascii="Times New Roman" w:hAnsi="Times New Roman"/>
          <w:sz w:val="28"/>
        </w:rPr>
        <w:t xml:space="preserve">Для достижения поставленной цели необходимо решить следующие задачи:</w:t>
      </w:r>
    </w:p>
    <w:p>
      <w:pPr>
        <w:ind w:left="708" w:hanging="360"/>
        <w:spacing w:line="360"/>
      </w:pPr>
      <w:r>
        <w:rPr>
          <w:rFonts w:ascii="Times New Roman"/>
          <w:sz w:val="28"/>
        </w:rPr>
        <w:t>• </w:t>
      </w:r>
      <w:r>
        <w:rPr>
          <w:rFonts w:ascii="Times New Roman" w:hAnsi="Times New Roman"/>
          <w:sz w:val="28"/>
        </w:rPr>
        <w:t xml:space="preserve">Провести анализ существующей схемы электроснабжения и характеристик двигательной нагрузки фидера 10 кВ, выявить недостатки действующей системы РЗА;</w:t>
      </w:r>
    </w:p>
    <w:p>
      <w:pPr>
        <w:ind w:left="708" w:hanging="360"/>
        <w:spacing w:line="360"/>
      </w:pPr>
      <w:r>
        <w:rPr>
          <w:rFonts w:ascii="Times New Roman"/>
          <w:sz w:val="28"/>
        </w:rPr>
        <w:t>• </w:t>
      </w:r>
      <w:r>
        <w:rPr>
          <w:rFonts w:ascii="Times New Roman" w:hAnsi="Times New Roman"/>
          <w:sz w:val="28"/>
        </w:rPr>
        <w:t xml:space="preserve">Выполнить расчет электрических режимов работы фидера, включая нормальные, пусковые и аварийные режимы с учетом влияния двигательной нагрузки;</w:t>
      </w:r>
    </w:p>
    <w:p>
      <w:pPr>
        <w:ind w:left="708" w:hanging="360"/>
        <w:spacing w:line="360"/>
      </w:pPr>
      <w:r>
        <w:rPr>
          <w:rFonts w:ascii="Times New Roman"/>
          <w:sz w:val="28"/>
        </w:rPr>
        <w:t>• </w:t>
      </w:r>
      <w:r>
        <w:rPr>
          <w:rFonts w:ascii="Times New Roman" w:hAnsi="Times New Roman"/>
          <w:sz w:val="28"/>
        </w:rPr>
        <w:t xml:space="preserve">Рассчитать токи короткого замыкания в различных точках сети с учетом подпитки от электродвигателей;</w:t>
      </w:r>
    </w:p>
    <w:p>
      <w:pPr>
        <w:ind w:left="708" w:hanging="360"/>
        <w:spacing w:line="360"/>
      </w:pPr>
      <w:r>
        <w:rPr>
          <w:rFonts w:ascii="Times New Roman"/>
          <w:sz w:val="28"/>
        </w:rPr>
        <w:t>• </w:t>
      </w:r>
      <w:r>
        <w:rPr>
          <w:rFonts w:ascii="Times New Roman" w:hAnsi="Times New Roman"/>
          <w:sz w:val="28"/>
        </w:rPr>
        <w:t xml:space="preserve">Выбрать современное микропроцессорное устройство РЗА, соответствующее требованиям защиты фидера с двигательной нагрузкой;</w:t>
      </w:r>
    </w:p>
    <w:p>
      <w:pPr>
        <w:ind w:left="708" w:hanging="360"/>
        <w:spacing w:line="360"/>
      </w:pPr>
      <w:r>
        <w:rPr>
          <w:rFonts w:ascii="Times New Roman"/>
          <w:sz w:val="28"/>
        </w:rPr>
        <w:t>• </w:t>
      </w:r>
      <w:r>
        <w:rPr>
          <w:rFonts w:ascii="Times New Roman" w:hAnsi="Times New Roman"/>
          <w:sz w:val="28"/>
        </w:rPr>
        <w:t xml:space="preserve">Произвести расчет уставок всех видов защит: максимальной токовой защиты, токовой отсечки, защиты от перегрузки, защиты минимального напряжения;</w:t>
      </w:r>
    </w:p>
    <w:p>
      <w:pPr>
        <w:ind w:left="708" w:hanging="360"/>
        <w:spacing w:line="360"/>
      </w:pPr>
      <w:r>
        <w:rPr>
          <w:rFonts w:ascii="Times New Roman"/>
          <w:sz w:val="28"/>
        </w:rPr>
        <w:t>• </w:t>
      </w:r>
      <w:r>
        <w:rPr>
          <w:rFonts w:ascii="Times New Roman" w:hAnsi="Times New Roman"/>
          <w:sz w:val="28"/>
        </w:rPr>
        <w:t xml:space="preserve">Выполнить проверку селективности работы защит фидера с устройствами РЗА смежных элементов сети;</w:t>
      </w:r>
    </w:p>
    <w:p>
      <w:pPr>
        <w:ind w:left="708" w:hanging="360"/>
        <w:spacing w:line="360"/>
      </w:pPr>
      <w:r>
        <w:rPr>
          <w:rFonts w:ascii="Times New Roman"/>
          <w:sz w:val="28"/>
        </w:rPr>
        <w:t>• </w:t>
      </w:r>
      <w:r>
        <w:rPr>
          <w:rFonts w:ascii="Times New Roman" w:hAnsi="Times New Roman"/>
          <w:sz w:val="28"/>
        </w:rPr>
        <w:t xml:space="preserve">Провести проверку чувствительности защит для всех расчетных видов коротких замыканий;</w:t>
      </w:r>
    </w:p>
    <w:p>
      <w:pPr>
        <w:ind w:left="708" w:hanging="360"/>
        <w:spacing w:line="360"/>
      </w:pPr>
      <w:r>
        <w:rPr>
          <w:rFonts w:ascii="Times New Roman"/>
          <w:sz w:val="28"/>
        </w:rPr>
        <w:t>• </w:t>
      </w:r>
      <w:r>
        <w:rPr>
          <w:rFonts w:ascii="Times New Roman" w:hAnsi="Times New Roman"/>
          <w:sz w:val="28"/>
        </w:rPr>
        <w:t xml:space="preserve">Разработать карты уставок и схемы подключения микропроцессорного терминала защиты;</w:t>
      </w:r>
    </w:p>
    <w:p>
      <w:pPr>
        <w:ind w:left="708" w:hanging="360"/>
        <w:spacing w:line="360"/>
      </w:pPr>
      <w:r>
        <w:rPr>
          <w:rFonts w:ascii="Times New Roman"/>
          <w:sz w:val="28"/>
        </w:rPr>
        <w:t>• </w:t>
      </w:r>
      <w:r>
        <w:rPr>
          <w:rFonts w:ascii="Times New Roman" w:hAnsi="Times New Roman"/>
          <w:sz w:val="28"/>
        </w:rPr>
        <w:t xml:space="preserve">Оценить технико-экономическую эффективность предлагаемых решений по модернизации.</w:t>
      </w:r>
    </w:p>
    <w:p>
      <w:pPr>
        <w:pStyle w:val="Heading2"/>
        <w:spacing w:before="240" w:after="120"/>
      </w:pPr>
      <w:r>
        <w:rPr>
          <w:rFonts w:ascii="Times New Roman" w:hAnsi="Times New Roman"/>
          <w:b/>
          <w:sz w:val="28"/>
        </w:rPr>
        <w:t xml:space="preserve">Объект и предмет исследования</w:t>
      </w:r>
    </w:p>
    <w:p>
      <w:pPr>
        <w:jc w:val="both"/>
        <w:ind w:firstLine="708"/>
        <w:spacing w:line="360" w:lineRule="auto"/>
      </w:pPr>
      <w:r>
        <w:rPr>
          <w:rFonts w:ascii="Times New Roman" w:hAnsi="Times New Roman"/>
          <w:sz w:val="28"/>
        </w:rPr>
        <w:t xml:space="preserve">Объектом исследования в данной выпускной квалификационной работе является фидер напряжением 10 кВ распределительной сети промышленного предприятия, питающий преимущественно двигательную нагрузку. Фидер представляет собой кабельную линию, отходящую от секции сборных шин распределительного устройства 10 кВ и обеспечивающую электроснабжение группы асинхронных электродвигателей мощностью от нескольких десятков до нескольких сотен киловатт, используемых для привода технологического оборудования.</w:t>
      </w:r>
    </w:p>
    <w:p>
      <w:pPr>
        <w:jc w:val="both"/>
        <w:ind w:firstLine="708"/>
        <w:spacing w:line="360" w:lineRule="auto"/>
      </w:pPr>
      <w:r>
        <w:rPr>
          <w:rFonts w:ascii="Times New Roman" w:hAnsi="Times New Roman"/>
          <w:sz w:val="28"/>
        </w:rPr>
        <w:t xml:space="preserve">Предметом исследования являются система релейной защиты и автоматики данного фидера, методы расчета уставок защит с учетом специфики двигательной нагрузки, принципы обеспечения селективности срабатывания защитных устройств и методики проверки их чувствительности. Особое внимание уделяется особенностям функционирования защит в условиях больших пусковых токов электродвигателей, влияния подпитки от двигательной нагрузки при коротких замыканиях, а также возможностям современных микропроцессорных терминалов по реализации сложных алгоритмов защиты.</w:t>
      </w:r>
    </w:p>
    <w:p>
      <w:pPr>
        <w:jc w:val="both"/>
        <w:ind w:firstLine="708"/>
        <w:spacing w:line="360" w:lineRule="auto"/>
      </w:pPr>
      <w:r>
        <w:rPr>
          <w:rFonts w:ascii="Times New Roman" w:hAnsi="Times New Roman"/>
          <w:sz w:val="28"/>
        </w:rPr>
        <w:t xml:space="preserve">Исследование охватывает весь комплекс вопросов, связанных с проектированием и настройкой системы РЗА: от анализа электрических режимов и расчета токов короткого замыкания до выбора конкретных моделей защитных устройств и разработки технической документации. Рассматриваются как традиционные виды защит (максимальная токовая защита, токовая отсечка), так и дополнительные функции, реализуемые современными цифровыми терминалами (защита от перегрузки, контроль изоляции, регистрация аварийных событий).</w:t>
      </w:r>
    </w:p>
    <w:p>
      <w:pPr>
        <w:pStyle w:val="Heading2"/>
        <w:spacing w:before="240" w:after="120"/>
      </w:pPr>
      <w:r>
        <w:rPr>
          <w:rFonts w:ascii="Times New Roman" w:hAnsi="Times New Roman"/>
          <w:b/>
          <w:sz w:val="28"/>
        </w:rPr>
        <w:t xml:space="preserve">Методы исследования и практическая значимость</w:t>
      </w:r>
    </w:p>
    <w:p>
      <w:pPr>
        <w:jc w:val="both"/>
        <w:ind w:firstLine="708"/>
        <w:spacing w:line="360" w:lineRule="auto"/>
      </w:pPr>
      <w:r>
        <w:rPr>
          <w:rFonts w:ascii="Times New Roman" w:hAnsi="Times New Roman"/>
          <w:sz w:val="28"/>
        </w:rPr>
        <w:t xml:space="preserve">В процессе выполнения выпускной квалификационной работы применяется комплекс теоретических и практических методов исследования. Теоретической основой работы служат фундаментальные положения теории электрических цепей, теории переходных процессов в электрических системах, а также специальные разделы электротехники, посвященные релейной защите и автоматике электроэнергетических систем.</w:t>
      </w:r>
    </w:p>
    <w:p>
      <w:pPr>
        <w:jc w:val="both"/>
        <w:ind w:firstLine="708"/>
        <w:spacing w:line="360" w:lineRule="auto"/>
      </w:pPr>
      <w:r>
        <w:rPr>
          <w:rFonts w:ascii="Times New Roman" w:hAnsi="Times New Roman"/>
          <w:sz w:val="28"/>
        </w:rPr>
        <w:t xml:space="preserve">Для расчета электрических режимов и токов короткого замыкания используются аналитические методы, основанные на методе симметричных составляющих и эквивалентных схем замещения. Расчеты выполняются с применением современного программного обеспечения, позволяющего моделировать сложные режимы работы сети с учетом динамических характеристик электродвигателей. При выборе уставок защит применяются методы оптимизации, обеспечивающие баланс между быстродействием, чувствительностью и селективностью срабатывания.</w:t>
      </w:r>
    </w:p>
    <w:p>
      <w:pPr>
        <w:jc w:val="both"/>
        <w:ind w:firstLine="708"/>
        <w:spacing w:line="360" w:lineRule="auto"/>
      </w:pPr>
      <w:r>
        <w:rPr>
          <w:rFonts w:ascii="Times New Roman" w:hAnsi="Times New Roman"/>
          <w:sz w:val="28"/>
        </w:rPr>
        <w:t xml:space="preserve">Проверка селективности осуществляется методом построения карт селективности и временных диаграмм срабатывания защит различных ступеней. Анализ чувствительности защит проводится путем расчета коэффициентов чувствительности для различных видов и мест коротких замыканий с учетом минимальных режимов работы системы электроснабжения. Для оценки эффективности предлагаемых решений используются методы технико-экономического анализа, включающие расчет капитальных затрат, эксплуатационных расходов и предотвращенного ущерба.</w:t>
      </w:r>
    </w:p>
    <w:p>
      <w:pPr>
        <w:jc w:val="both"/>
        <w:ind w:firstLine="708"/>
        <w:spacing w:line="360" w:lineRule="auto"/>
      </w:pPr>
      <w:r>
        <w:rPr>
          <w:rFonts w:ascii="Times New Roman" w:hAnsi="Times New Roman"/>
          <w:sz w:val="28"/>
        </w:rPr>
        <w:t xml:space="preserve">Практическая значимость работы заключается в разработке конкретного инженерного решения по модернизации системы РЗА реального фидера 10 кВ, которое может быть непосредственно использовано при реализации проекта на промышленном предприятии. Результаты расчетов уставок, карты селективности и схемы подключения представляют собой готовую техническую документацию для внедрения. Предложенная методика расчета и выбора уставок защит для фидеров с двигательной нагрузкой может быть применена для аналогичных объектов на других предприятиях.</w:t>
      </w:r>
    </w:p>
    <w:p>
      <w:pPr>
        <w:jc w:val="both"/>
        <w:ind w:firstLine="708"/>
        <w:spacing w:line="360" w:lineRule="auto"/>
      </w:pPr>
      <w:r>
        <w:rPr>
          <w:rFonts w:ascii="Times New Roman" w:hAnsi="Times New Roman"/>
          <w:sz w:val="28"/>
        </w:rPr>
        <w:t xml:space="preserve">Внедрение результатов работы позволит повысить надежность электроснабжения технологических процессов, снизить вероятность аварийных ситуаций и их последствий, уменьшить время простоев оборудования. Экономический эффект достигается за счет предотвращения ущерба от отказов электроснабжения, сокращения затрат на ремонт поврежденного оборудования и снижения эксплуатационных расходов на обслуживание системы РЗА благодаря использованию современных самодиагностируемых устройств.</w:t>
      </w:r>
    </w:p>
    <w:p>
      <w:r>
        <w:t/>
      </w:r>
    </w:p>
    <w:p>
      <w:pPr>
        <w:pStyle w:val="Heading1"/>
        <w:jc w:val="center"/>
        <w:spacing w:before="240" w:after="240"/>
      </w:pPr>
      <w:r>
        <w:rPr>
          <w:rFonts w:ascii="Times New Roman" w:hAnsi="Times New Roman"/>
          <w:b/>
          <w:sz w:val="28"/>
        </w:rPr>
        <w:t xml:space="preserve">ХАРАКТЕРИСТИКА СИСТЕМЫ ЭЛЕКТРОСНАБЖЕНИЯ И ФИДЕРА 10 КВ С ДВИГАТЕЛЬНОЙ НАГРУЗКОЙ</w:t>
      </w:r>
    </w:p>
    <w:p>
      <w:pPr>
        <w:jc w:val="both"/>
        <w:ind w:firstLine="708"/>
        <w:spacing w:line="360" w:lineRule="auto"/>
      </w:pPr>
      <w:r>
        <w:rPr>
          <w:rFonts w:ascii="Times New Roman" w:hAnsi="Times New Roman"/>
          <w:sz w:val="28"/>
        </w:rPr>
        <w:t xml:space="preserve">Системы электроснабжения промышленных предприятий с двигательной нагрузкой представляют собой сложные электротехнические комплексы, требующие особого подхода к проектированию и эксплуатации релейной защиты и автоматики. Фидеры напряжением 10 кВ, питающие асинхронные электродвигатели большой мощности, характеризуются специфическими режимами работы, включая значительные пусковые токи, возможность самозапуска и динамические изменения нагрузки. Правильная организация системы электроснабжения и понимание особенностей работы двигательной нагрузки являются основополагающими факторами для разработки эффективной системы РЗА, обеспечивающей надежную защиту оборудования при сохранении селективности и чувствительности.</w:t>
      </w:r>
    </w:p>
    <w:p>
      <w:pPr>
        <w:pStyle w:val="Heading2"/>
        <w:spacing w:before="240" w:after="120"/>
      </w:pPr>
      <w:r>
        <w:rPr>
          <w:rFonts w:ascii="Times New Roman" w:hAnsi="Times New Roman"/>
          <w:b/>
          <w:sz w:val="28"/>
        </w:rPr>
        <w:t xml:space="preserve">Общая характеристика системы электроснабжения предприятия</w:t>
      </w:r>
    </w:p>
    <w:p>
      <w:pPr>
        <w:jc w:val="both"/>
        <w:ind w:firstLine="708"/>
        <w:spacing w:line="360" w:lineRule="auto"/>
      </w:pPr>
      <w:r>
        <w:rPr>
          <w:rFonts w:ascii="Times New Roman" w:hAnsi="Times New Roman"/>
          <w:sz w:val="28"/>
        </w:rPr>
        <w:t xml:space="preserve">Система электроснабжения промышленного предприятия с двигательной нагрузкой строится по принципу глубокого ввода напряжения с применением трансформаторных подстанций, обеспечивающих преобразование энергии от питающей сети высокого напряжения к распределительным сетям среднего напряжения. Типовая схема электроснабжения включает в себя несколько уровней напряжения: питание от энергосистемы напряжением 110-220 кВ, главную понизительную подстанцию (ГПП) с трансформацией до уровня 35 или 10 кВ, распределительные устройства среднего напряжения и трансформаторные подстанции для питания низковольтных потребителей.</w:t>
      </w:r>
    </w:p>
    <w:p>
      <w:pPr>
        <w:jc w:val="both"/>
        <w:ind w:firstLine="708"/>
        <w:spacing w:line="360" w:lineRule="auto"/>
      </w:pPr>
      <w:r>
        <w:rPr>
          <w:rFonts w:ascii="Times New Roman" w:hAnsi="Times New Roman"/>
          <w:sz w:val="28"/>
        </w:rPr>
        <w:t xml:space="preserve">Основным элементом системы электроснабжения предприятия является главная понизительная подстанция, на которой установлены силовые трансформаторы мощностью от 16 до 63 МВА. Конфигурация ГПП определяется категорией надежности электроснабжения потребителей и может быть выполнена с одним или двумя трансформаторами, работающими параллельно или раздельно. Для предприятий с непрерывным технологическим циклом и наличием потребителей первой категории обязательным является резервирование питания через автоматическое включение резерва (АВР).</w:t>
      </w:r>
    </w:p>
    <w:p>
      <w:pPr>
        <w:jc w:val="both"/>
        <w:ind w:firstLine="708"/>
        <w:spacing w:line="360" w:lineRule="auto"/>
      </w:pPr>
      <w:r>
        <w:rPr>
          <w:rFonts w:ascii="Times New Roman" w:hAnsi="Times New Roman"/>
          <w:sz w:val="28"/>
        </w:rPr>
        <w:t xml:space="preserve">Распределительная сеть среднего напряжения 10 кВ формируется на базе комплектных распределительных устройств (КРУ) или распределительных устройств открытого типа (РУ). Структура распределительной сети может быть выполнена по радиальной, магистральной или смешанной схеме в зависимости от территориального расположения потребителей, их мощности и требований к надежности. Радиальная схема обеспечивает максимальную селективность защит и простоту эксплуатации, однако требует большего количества коммутационной аппаратуры. Магистральная схема более экономична, но усложняет обеспечение селективности при коротких замыканиях.</w:t>
      </w:r>
    </w:p>
    <w:p>
      <w:pPr>
        <w:jc w:val="both"/>
        <w:ind w:firstLine="708"/>
        <w:spacing w:line="360" w:lineRule="auto"/>
      </w:pPr>
      <w:r>
        <w:rPr>
          <w:rFonts w:ascii="Times New Roman" w:hAnsi="Times New Roman"/>
          <w:sz w:val="28"/>
        </w:rPr>
        <w:t xml:space="preserve">Система электроснабжения предприятия характеризуется режимом нейтрали, который в сетях 10 кВ выполняется изолированным или компенсированным через дугогасящий реактор. Выбор режима нейтрали определяется емкостными токами замыкания на землю и влияет на построение защиты от однофазных замыканий. При емкостных токах более 30 А применяется компенсация для снижения перенапряжений и повышения устойчивости работы сети. Современные тенденции в области защиты от замыканий на землю связаны с применением микропроцессорных устройств, способных реализовать адаптивные алгоритмы определения поврежденного присоединения</w:t>
      </w:r>
      <w:hyperlink w:anchor="_Source_1">
        <w:r>
          <w:rPr>
            <w:rFonts w:ascii="Times New Roman" w:hAnsi="Times New Roman"/>
            <w:sz w:val="28"/>
            <w:rStyle w:val="Hyperlink"/>
          </w:rPr>
          <w:t>[1]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Качество электроэнергии в системе электроснабжения предприятия является критическим параметром, особенно для двигательной нагрузки. Отклонения напряжения, несимметрия фаз и наличие высших гармоник негативно влияют на работу асинхронных двигателей, снижая их КПД и сокращая срок службы. Для обеспечения требуемого качества электроэнергии в системе предусматриваются устройства компенсации реактивной мощности, фильтры высших гармоник и системы автоматического регулирования напряжения. Несимметрия напряжений особенно критична для двигательной нагрузки, так как приводит к появлению токов обратной последовательности, вызывающих дополнительный нагрев обмоток.</w:t>
      </w:r>
    </w:p>
    <w:p>
      <w:pPr>
        <w:jc w:val="both"/>
        <w:ind w:firstLine="708"/>
        <w:spacing w:line="360" w:lineRule="auto"/>
      </w:pPr>
      <w:r>
        <w:rPr>
          <w:rFonts w:ascii="Times New Roman" w:hAnsi="Times New Roman"/>
          <w:sz w:val="28"/>
        </w:rPr>
        <w:t xml:space="preserve">Система учета и мониторинга электроэнергии является неотъемлемой частью современной системы электроснабжения. Установка интеллектуальных приборов учета и систем SCADA позволяет в реальном времени контролировать параметры электропотребления, выявлять аварийные ситуации и оптимизировать режимы работы оборудования. Интеграция систем учета с устройствами РЗА обеспечивает возможность дистанционного управления коммутационной аппаратурой и автоматизации процессов переключений в распределительной сети.</w:t>
      </w:r>
    </w:p>
    <w:p>
      <w:pPr>
        <w:pStyle w:val="Heading2"/>
        <w:spacing w:before="240" w:after="120"/>
      </w:pPr>
      <w:r>
        <w:rPr>
          <w:rFonts w:ascii="Times New Roman" w:hAnsi="Times New Roman"/>
          <w:b/>
          <w:sz w:val="28"/>
        </w:rPr>
        <w:t xml:space="preserve">Схема электроснабжения фидера 10 кВ</w:t>
      </w:r>
    </w:p>
    <w:p>
      <w:pPr>
        <w:jc w:val="both"/>
        <w:ind w:firstLine="708"/>
        <w:spacing w:line="360" w:lineRule="auto"/>
      </w:pPr>
      <w:r>
        <w:rPr>
          <w:rFonts w:ascii="Times New Roman" w:hAnsi="Times New Roman"/>
          <w:sz w:val="28"/>
        </w:rPr>
        <w:t xml:space="preserve">Фидер 10 кВ с двигательной нагрузкой представляет собой специализированное присоединение распределительного устройства среднего напряжения, предназначенное для питания группы высоковольтных асинхронных электродвигателей или отдельного мощного двигателя. Типовая схема фидера включает в себя вводной выключатель с приводом, трансформаторы тока для измерения и защиты, трансформаторы напряжения для контроля параметров сети, кабельную линию 10 кВ и концевые устройства на стороне нагрузки.</w:t>
      </w:r>
    </w:p>
    <w:p>
      <w:pPr>
        <w:jc w:val="both"/>
        <w:ind w:firstLine="708"/>
        <w:spacing w:line="360" w:lineRule="auto"/>
      </w:pPr>
      <w:r>
        <w:rPr>
          <w:rFonts w:ascii="Times New Roman" w:hAnsi="Times New Roman"/>
          <w:sz w:val="28"/>
        </w:rPr>
        <w:t xml:space="preserve">Коммутационная аппаратура фидера выбирается с учетом номинального тока нагрузки, токов короткого замыкания и специфики двигательной нагрузки. В качестве вводного коммутационного аппарата применяются вакуумные или элегазовые выключатели, обеспечивающие надежную коммутацию как номинальных токов, так и токов короткого замыкания. Выключатели должны иметь электромагнитный или пружинный привод с возможностью автоматического управления от устройств РЗА и дистанционного управления от оперативного персонала.</w:t>
      </w:r>
    </w:p>
    <w:p>
      <w:pPr>
        <w:jc w:val="both"/>
        <w:ind w:firstLine="708"/>
        <w:spacing w:line="360" w:lineRule="auto"/>
      </w:pPr>
      <w:r>
        <w:rPr>
          <w:rFonts w:ascii="Times New Roman" w:hAnsi="Times New Roman"/>
          <w:sz w:val="28"/>
        </w:rPr>
        <w:t xml:space="preserve">Трансформаторы тока устанавливаются во всех трех фазах фидера и выбираются с учетом максимального рабочего тока, включая пусковые режимы двигателей. Коэффициент трансформации ТТ должен обеспечивать работу измерительных приборов и устройств защиты в номинальном режиме при токе вторичной обмотки около 40-60% от номинального значения 5 А. Класс точности трансформаторов тока для цепей защиты выбирается 10Р, что обеспечивает требуемую точность при токах короткого замыкания. Важным параметром является кратность предельной точности, которая должна превышать максимальный ток короткого замыкания в точке установки.</w:t>
      </w:r>
    </w:p>
    <w:p>
      <w:pPr>
        <w:jc w:val="both"/>
        <w:ind w:firstLine="708"/>
        <w:spacing w:line="360" w:lineRule="auto"/>
      </w:pPr>
      <w:r>
        <w:rPr>
          <w:rFonts w:ascii="Times New Roman" w:hAnsi="Times New Roman"/>
          <w:sz w:val="28"/>
        </w:rPr>
        <w:t xml:space="preserve">Кабельная линия фидера 10 кВ выполняется кабелем с изоляцией из сшитого полиэтилена или бумажно-масляной изоляцией, проложенным в земле, кабельных сооружениях или по эстакадам. Сечение токопроводящих жил выбирается по условиям нагрева номинальным током с учетом пусковых режимов, по термической стойкости к токам короткого замыкания и по условиям механической прочности. Для фидеров с двигательной нагрузкой особое внимание уделяется расчету падения напряжения в пусковых режимах, так как значительное снижение напряжения может привести к затягиванию пуска или невозможности запуска двигателя.</w:t>
      </w:r>
    </w:p>
    <w:p>
      <w:pPr>
        <w:jc w:val="both"/>
        <w:ind w:firstLine="708"/>
        <w:spacing w:line="360" w:lineRule="auto"/>
      </w:pPr>
      <w:r>
        <w:rPr>
          <w:rFonts w:ascii="Times New Roman" w:hAnsi="Times New Roman"/>
          <w:sz w:val="28"/>
        </w:rPr>
        <w:t xml:space="preserve">Схема присоединения двигателей к фидеру 10 кВ может быть выполнена по нескольким вариантам в зависимости от мощности и количества электродвигателей. При питании группы двигателей применяется схема с общим фидером и индивидуальными ячейками КРУ для каждого двигателя, оснащенными собственными выключателями и защитами. Для особо ответственных двигателей большой мощности применяется схема индивидуального питания отдельным фидером от шин РУ 10 кВ. Такая схема обеспечивает максимальную надежность и упрощает настройку защит, но требует большего количества оборудования.</w:t>
      </w:r>
    </w:p>
    <w:p>
      <w:pPr>
        <w:jc w:val="both"/>
        <w:ind w:firstLine="708"/>
        <w:spacing w:line="360" w:lineRule="auto"/>
      </w:pPr>
      <w:r>
        <w:rPr>
          <w:rFonts w:ascii="Times New Roman" w:hAnsi="Times New Roman"/>
          <w:sz w:val="28"/>
        </w:rPr>
        <w:t xml:space="preserve">Система автоматического включения резерва на фидерах с двигательной нагрузкой имеет особенности, связанные с необходимостью обеспечения самозапуска двигателей после восстановления питания. АВР должно срабатывать с выдержкой времени, достаточной для отключения поврежденного участка и затухания переходных процессов, но не превышающей допустимое время перерыва питания для обеспечения успешного самозапуска. Типовое время срабатывания АВР составляет 0,3-1,5 секунды в зависимости от характера нагрузки и требований технологического процесса.</w:t>
      </w:r>
    </w:p>
    <w:p>
      <w:pPr>
        <w:jc w:val="both"/>
        <w:ind w:firstLine="708"/>
        <w:spacing w:line="360" w:lineRule="auto"/>
      </w:pPr>
      <w:r>
        <w:rPr>
          <w:rFonts w:ascii="Times New Roman" w:hAnsi="Times New Roman"/>
          <w:sz w:val="28"/>
        </w:rPr>
        <w:t xml:space="preserve">Система измерения и контроля параметров фидера включает в себя амперметры для контроля тока в каждой фазе, вольтметр для измерения линейного напряжения, счетчики активной и реактивной энергии. Современные микропроцессорные устройства РЗА объединяют функции измерения, защиты и автоматики, обеспечивая комплексный контроль состояния фидера и регистрацию аварийных событий. Наличие функции осциллографирования позволяет анализировать переходные процессы при коротких замыканиях и пусках двигателей для оптимизации уставок защит.</w:t>
      </w:r>
    </w:p>
    <w:p>
      <w:pPr>
        <w:pStyle w:val="Heading2"/>
        <w:spacing w:before="240" w:after="120"/>
      </w:pPr>
      <w:r>
        <w:rPr>
          <w:rFonts w:ascii="Times New Roman" w:hAnsi="Times New Roman"/>
          <w:b/>
          <w:sz w:val="28"/>
        </w:rPr>
        <w:t xml:space="preserve">Характеристика двигательной нагрузки фидера</w:t>
      </w:r>
    </w:p>
    <w:p>
      <w:pPr>
        <w:jc w:val="both"/>
        <w:ind w:firstLine="708"/>
        <w:spacing w:line="360" w:lineRule="auto"/>
      </w:pPr>
      <w:r>
        <w:rPr>
          <w:rFonts w:ascii="Times New Roman" w:hAnsi="Times New Roman"/>
          <w:sz w:val="28"/>
        </w:rPr>
        <w:t xml:space="preserve">Двигательная нагрузка фидера 10 кВ формируется асинхронными электродвигателями с короткозамкнутым или фазным ротором, применяемыми для привода насосов, компрессоров, вентиляторов, мельниц и другого технологического оборудования. Номинальная мощность высоковольтных двигателей, подключаемых к сети 10 кВ, составляет от 200 кВт до 8000 кВт, при этом наиболее распространенный диапазон находится в пределах 500-2500 кВт. Выбор напряжения 10 кВ для питания двигателей обусловлен экономической целесообразностью при больших мощностях и значительных расстояниях передачи энергии.</w:t>
      </w:r>
    </w:p>
    <w:p>
      <w:pPr>
        <w:jc w:val="both"/>
        <w:ind w:firstLine="708"/>
        <w:spacing w:line="360" w:lineRule="auto"/>
      </w:pPr>
      <w:r>
        <w:rPr>
          <w:rFonts w:ascii="Times New Roman" w:hAnsi="Times New Roman"/>
          <w:sz w:val="28"/>
        </w:rPr>
        <w:t xml:space="preserve">Конструктивное исполнение высоковольтных асинхронных двигателей определяется условиями эксплуатации и характером приводимых механизмов. Для внутренней установки применяются двигатели в закрытом обдуваемом исполнении с принудительной вентиляцией, для наружной установки – в защищенном или закрытом исполнении с повышенной степенью защиты от воздействия окружающей среды. Двигатели особо ответственных механизмов оснащаются системами контроля температуры обмоток, вибрации подшипников и другими средствами диагностики технического состояния.</w:t>
      </w:r>
    </w:p>
    <w:p>
      <w:pPr>
        <w:jc w:val="both"/>
        <w:ind w:firstLine="708"/>
        <w:spacing w:line="360" w:lineRule="auto"/>
      </w:pPr>
      <w:r>
        <w:rPr>
          <w:rFonts w:ascii="Times New Roman" w:hAnsi="Times New Roman"/>
          <w:sz w:val="28"/>
        </w:rPr>
        <w:t xml:space="preserve">Номинальные параметры асинхронных двигателей определяются по каталожным данным заводов-изготовителей и включают номинальную мощность, напряжение, ток, частоту вращения, коэффициент мощности и КПД. Важными параметрами для расчета защит являются кратность пускового тока, кратность пускового момента, кратность максимального момента и момент инерции ротора с приводимым механизмом. Типовые значения кратности пускового тока для высоковольтных двигателей составляют 5,0-7,5 относительно номинального тока, что значительно влияет на выбор уставок токовых защит.</w:t>
      </w:r>
    </w:p>
    <w:p>
      <w:pPr>
        <w:jc w:val="both"/>
        <w:ind w:firstLine="708"/>
        <w:spacing w:line="360" w:lineRule="auto"/>
      </w:pPr>
      <w:r>
        <w:rPr>
          <w:rFonts w:ascii="Times New Roman" w:hAnsi="Times New Roman"/>
          <w:sz w:val="28"/>
        </w:rPr>
        <w:t xml:space="preserve">Коэффициент мощности двигательной нагрузки в номинальном режиме составляет 0,85-0,92 и существенно снижается при недогрузке двигателя или в пусковых режимах до значений 0,2-0,4. Низкий коэффициент мощности приводит к увеличению потерь в сети и снижению пропускной способности элементов системы электроснабжения. Для компенсации реактивной мощности двигательной нагрузки применяются конденсаторные установки, подключаемые на шины 10 кВ или непосредственно к зажимам двигателей через специальные разрядные устройства.</w:t>
      </w:r>
    </w:p>
    <w:p>
      <w:pPr>
        <w:jc w:val="both"/>
        <w:ind w:firstLine="708"/>
        <w:spacing w:line="360" w:lineRule="auto"/>
      </w:pPr>
      <w:r>
        <w:rPr>
          <w:rFonts w:ascii="Times New Roman" w:hAnsi="Times New Roman"/>
          <w:sz w:val="28"/>
        </w:rPr>
        <w:t xml:space="preserve">Режим работы двигательной нагрузки характеризуется коэффициентом загрузки, который показывает отношение фактической мощности на валу к номинальной мощности двигателя. Оптимальный коэффициент загрузки асинхронных двигателей составляет 0,7-0,9, при котором обеспечивается максимальный КПД и коэффициент мощности. Работа двигателя с коэффициентом загрузки менее 0,4 приводит к резкому снижению энергетической эффективности и ухудшению коэффициента мощности, что необходимо учитывать при выборе мощности двигателей на стадии проектирования.</w:t>
      </w:r>
    </w:p>
    <w:p>
      <w:pPr>
        <w:jc w:val="both"/>
        <w:ind w:firstLine="708"/>
        <w:spacing w:line="360" w:lineRule="auto"/>
      </w:pPr>
      <w:r>
        <w:rPr>
          <w:rFonts w:ascii="Times New Roman" w:hAnsi="Times New Roman"/>
          <w:sz w:val="28"/>
        </w:rPr>
        <w:t xml:space="preserve">Тепловой режим работы асинхронных двигателей определяется балансом между выделяемым теплом от потерь в обмотках и магнитопроводе и теплом, отводимым системой охлаждения. Превышение температуры обмоток над температурой окружающей среды в номинальном режиме не должно превышать значений, установленных для соответствующего класса изоляции. Перегрузка двигателя по току приводит к ускоренному старению изоляции и сокращению срока службы, что требует применения тепловой защиты с контролем температуры или моделированием теплового состояния на основе измерения тока.</w:t>
      </w:r>
    </w:p>
    <w:p>
      <w:pPr>
        <w:jc w:val="both"/>
        <w:ind w:firstLine="708"/>
        <w:spacing w:line="360" w:lineRule="auto"/>
      </w:pPr>
      <w:r>
        <w:rPr>
          <w:rFonts w:ascii="Times New Roman" w:hAnsi="Times New Roman"/>
          <w:sz w:val="28"/>
        </w:rPr>
        <w:t xml:space="preserve">Надежность работы двигательной нагрузки зависит от качества электроэнергии, правильности выбора параметров защиты и своевременности технического обслуживания. Основными причинами отказов высоковольтных двигателей являются пробой изоляции обмоток, повреждение подшипников, обрыв стержней короткозамкнутого ротора и механические повреждения. Статистика показывает, что около 40% отказов связаны с повреждением изоляции обмоток статора, вызванным тепловым, электрическим или механическим воздействием. Применение современных систем диагностики позволяет выявлять дефекты на ранней стадии и предотвращать аварийные отказы.</w:t>
      </w:r>
    </w:p>
    <w:p>
      <w:pPr>
        <w:pStyle w:val="Heading2"/>
        <w:spacing w:before="240" w:after="120"/>
      </w:pPr>
      <w:r>
        <w:rPr>
          <w:rFonts w:ascii="Times New Roman" w:hAnsi="Times New Roman"/>
          <w:b/>
          <w:sz w:val="28"/>
        </w:rPr>
        <w:t xml:space="preserve">Режимы работы электродвигателей и особенности пусковых токов</w:t>
      </w:r>
    </w:p>
    <w:p>
      <w:pPr>
        <w:jc w:val="both"/>
        <w:ind w:firstLine="708"/>
        <w:spacing w:line="360" w:lineRule="auto"/>
      </w:pPr>
      <w:r>
        <w:rPr>
          <w:rFonts w:ascii="Times New Roman" w:hAnsi="Times New Roman"/>
          <w:sz w:val="28"/>
        </w:rPr>
        <w:t xml:space="preserve">Пусковой режим асинхронного двигателя характеризуется значительным превышением тока над номинальным значением и является наиболее тяжелым как для самого двигателя, так и для питающей сети. При прямом пуске двигателя с короткозамкнутым ротором пусковой ток достигает 5-7,5 кратного значения от номинального и сохраняется в течение времени разгона, которое составляет от нескольких секунд до десятков секунд в зависимости от момента инерции приводимого механизма. Большие пусковые токи вызывают значительные падения напряжения в сети, что может привести к нарушению работы других потребителей и затягиванию процесса пуска.</w:t>
      </w:r>
    </w:p>
    <w:p>
      <w:pPr>
        <w:jc w:val="both"/>
        <w:ind w:firstLine="708"/>
        <w:spacing w:line="360" w:lineRule="auto"/>
      </w:pPr>
      <w:r>
        <w:rPr>
          <w:rFonts w:ascii="Times New Roman" w:hAnsi="Times New Roman"/>
          <w:sz w:val="28"/>
        </w:rPr>
        <w:t xml:space="preserve">Характер изменения пускового тока во времени определяется механической характеристикой двигателя и моментом сопротивления приводимого механизма. В начальный момент пуска, когда ротор неподвижен, ток достигает максимального значения, затем по мере разгона ротора ток постепенно снижается до номинального значения. Форма кривой пускового тока может иметь провал в средней части процесса разгона, что связано с особенностями конструкции беличьей клетки ротора и проявлением эффекта вытеснения тока. Для расчета уставок защиты необходимо учитывать не только максимальное значение пускового тока, но и его продолжительность.</w:t>
      </w:r>
    </w:p>
    <w:p>
      <w:pPr>
        <w:jc w:val="both"/>
        <w:ind w:firstLine="708"/>
        <w:spacing w:line="360" w:lineRule="auto"/>
      </w:pPr>
      <w:r>
        <w:rPr>
          <w:rFonts w:ascii="Times New Roman" w:hAnsi="Times New Roman"/>
          <w:sz w:val="28"/>
        </w:rPr>
        <w:t xml:space="preserve">Способы пуска асинхронных двигателей выбираются исходя из мощности двигателя, характеристик питающей сети и требований к пусковому моменту. Прямой пуск применяется для двигателей мощностью до 2000-2500 кВт при условии, что питающая сеть обладает достаточной мощностью для обеспечения приемлемого падения напряжения. Для более мощных двигателей или при слабой питающей сети применяются способы пуска с ограничением пускового тока: пуск через реактор, автотрансформаторный пуск, пуск с использованием устройств плавного пуска или частотных преобразователей.</w:t>
      </w:r>
    </w:p>
    <w:p>
      <w:pPr>
        <w:jc w:val="both"/>
        <w:ind w:firstLine="708"/>
        <w:spacing w:line="360" w:lineRule="auto"/>
      </w:pPr>
      <w:r>
        <w:rPr>
          <w:rFonts w:ascii="Times New Roman" w:hAnsi="Times New Roman"/>
          <w:sz w:val="28"/>
        </w:rPr>
        <w:t xml:space="preserve">Устройства плавного пуска на базе тиристорных регуляторов напряжения позволяют ограничить пусковой ток до 2-4 кратного значения от номинального за счет постепенного увеличения подводимого напряжения. Применение устройств плавного пуска снижает механические нагрузки на приводимое оборудование, уменьшает падение напряжения в сети и позволяет реализовать различные алгоритмы пуска в зависимости от характера нагрузки. Однако при использовании тиристорных устройств возникают высшие гармоники в токе, что требует применения фильтров для обеспечения качества электроэнергии.</w:t>
      </w:r>
    </w:p>
    <w:p>
      <w:pPr>
        <w:jc w:val="both"/>
        <w:ind w:firstLine="708"/>
        <w:spacing w:line="360" w:lineRule="auto"/>
      </w:pPr>
      <w:r>
        <w:rPr>
          <w:rFonts w:ascii="Times New Roman" w:hAnsi="Times New Roman"/>
          <w:sz w:val="28"/>
        </w:rPr>
        <w:t xml:space="preserve">Частотные преобразователи обеспечивают наиболее совершенный способ пуска и регулирования скорости асинхронных двигателей, позволяя осуществлять плавный разгон с постоянным моментом и ограничением тока на уровне номинального значения. Применение частотного регулирования обеспечивает значительную экономию электроэнергии для механизмов с переменной нагрузкой, таких как насосы и вентиляторы. Однако высокая стоимость преобразователей частоты для высоковольтных двигателей большой мощности ограничивает их широкое применение, и они используются в основном для особо ответственных и энергоемких механизмов.</w:t>
      </w:r>
    </w:p>
    <w:p>
      <w:pPr>
        <w:jc w:val="both"/>
        <w:ind w:firstLine="708"/>
        <w:spacing w:line="360" w:lineRule="auto"/>
      </w:pPr>
      <w:r>
        <w:rPr>
          <w:rFonts w:ascii="Times New Roman" w:hAnsi="Times New Roman"/>
          <w:sz w:val="28"/>
        </w:rPr>
        <w:t xml:space="preserve">Самозапуск двигателей после кратковременного перерыва питания является важным режимом, который необходимо учитывать при проектировании системы электроснабжения и настройке защит. При восстановлении напряжения после отключения питания двигатели, не успевшие остановиться, начинают процесс повторного разгона, при этом суммарный ток самозапуска группы двигателей может в несколько раз превышать суммарный пусковой ток при последовательном пуске. Успешность самозапуска зависит от остаточного напряжения на шинах, времени перерыва питания и соотношения между пусковым моментом двигателей и моментом сопротивления механизмов.</w:t>
      </w:r>
    </w:p>
    <w:p>
      <w:pPr>
        <w:jc w:val="both"/>
        <w:ind w:firstLine="708"/>
        <w:spacing w:line="360" w:lineRule="auto"/>
      </w:pPr>
      <w:r>
        <w:rPr>
          <w:rFonts w:ascii="Times New Roman" w:hAnsi="Times New Roman"/>
          <w:sz w:val="28"/>
        </w:rPr>
        <w:t xml:space="preserve">Условия обеспечения успешного самозапуска включают достаточную мощность источника питания, ограничение падения напряжения в сети при самозапуске и правильный выбор времени действия автоматического включения резерва. Падение напряжения при самозапуске не должно превышать 25-30% от номинального значения, так как при большем снижении напряжения пусковой момент двигателей, пропорциональный квадрату напряжения, может оказаться недостаточным для преодоления момента сопротивления. В некоторых случаях для обеспечения самозапуска ответственных двигателей применяется автоматика отключения менее важных потребителей на время процесса самозапуска.</w:t>
      </w:r>
    </w:p>
    <w:p>
      <w:pPr>
        <w:jc w:val="both"/>
        <w:ind w:firstLine="708"/>
        <w:spacing w:line="360" w:lineRule="auto"/>
      </w:pPr>
      <w:r>
        <w:rPr>
          <w:rFonts w:ascii="Times New Roman" w:hAnsi="Times New Roman"/>
          <w:sz w:val="28"/>
        </w:rPr>
        <w:t xml:space="preserve">Особенности работы двигателей в аварийных режимах определяют требования к быстродействию и чувствительности защит. При коротком замыкании в обмотках двигателя или питающем кабеле ток повреждения может достигать значений в десятки раз превышающих номинальный ток, что требует быстрого отключения для предотвращения развития повреждения. Однофазные замыкания на землю в сети с изолированной нейтралью не приводят к значительному увеличению тока, но вызывают повышение напряжения на неповрежденных фазах до линейного значения, что опасно для изоляции двигателя. При обрыве фазы питания двигатель продолжает работать в двухфазном режиме с резким увеличением тока в неповрежденных фазах, что приводит к перегреву обмоток и требует применения защиты от несимметричных режимов</w:t>
      </w:r>
      <w:hyperlink w:anchor="_Source_1">
        <w:r>
          <w:rPr>
            <w:rFonts w:ascii="Times New Roman" w:hAnsi="Times New Roman"/>
            <w:sz w:val="28"/>
            <w:rStyle w:val="Hyperlink"/>
          </w:rPr>
          <w:t>[1]</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Современные системы электроснабжения промышленных предприятий характеризуются высокой степенью сложности и разветвлённостью распределительных сетей среднего напряжения. Фидеры 10 кВ с двигательной нагрузкой представляют собой критически важные элементы системы электроснабжения, обеспечивающие питание электроприводов технологического оборудования. Особенностью таких фидеров является наличие значительных пусковых токов, динамически изменяющейся нагрузки и необходимость обеспечения бесперебойного электроснабжения для поддержания непрерывности технологических процессов.</w:t>
      </w:r>
    </w:p>
    <w:p>
      <w:pPr>
        <w:jc w:val="both"/>
        <w:ind w:firstLine="708"/>
        <w:spacing w:line="360" w:lineRule="auto"/>
      </w:pPr>
      <w:r>
        <w:rPr>
          <w:rFonts w:ascii="Times New Roman" w:hAnsi="Times New Roman"/>
          <w:sz w:val="28"/>
        </w:rPr>
        <w:t xml:space="preserve">Типовая система электроснабжения с фидером 10 кВ включает в себя питающую подстанцию 110/10 кВ, распределительные устройства среднего напряжения, силовые трансформаторы и электродвигатели различной мощности. Распределение электроэнергии осуществляется по радиальной или кольцевой схеме, что определяет требования к системе релейной защиты и автоматики. Нагрузка фидера может варьироваться в широких пределах в зависимости от режима работы технологического оборудования, что создаёт дополнительные требования к настройке защитных устройств.</w:t>
      </w:r>
    </w:p>
    <w:p>
      <w:pPr>
        <w:pStyle w:val="Heading2"/>
        <w:spacing w:before="240" w:after="120"/>
      </w:pPr>
      <w:r>
        <w:rPr>
          <w:rFonts w:ascii="Times New Roman" w:hAnsi="Times New Roman"/>
          <w:b/>
          <w:sz w:val="28"/>
        </w:rPr>
        <w:t xml:space="preserve">Анализ существующей системы релейной защиты и автоматики</w:t>
      </w:r>
    </w:p>
    <w:p>
      <w:pPr>
        <w:jc w:val="both"/>
        <w:ind w:firstLine="708"/>
        <w:spacing w:line="360" w:lineRule="auto"/>
      </w:pPr>
      <w:r>
        <w:rPr>
          <w:rFonts w:ascii="Times New Roman" w:hAnsi="Times New Roman"/>
          <w:sz w:val="28"/>
        </w:rPr>
        <w:t xml:space="preserve">Действующие системы релейной защиты на фидерах 10 кВ с двигательной нагрузкой традиционно строятся на базе электромеханических или микропроцессорных устройств первого поколения. Типовой комплект защит включает максимальную токовую защиту (МТЗ), токовую отсечку (ТО), защиту от замыканий на землю и автоматику повторного включения (АПВ). Электромеханические реле, несмотря на доказанную надёжность, имеют ограниченные функциональные возможности и требуют периодической калибровки.</w:t>
      </w:r>
    </w:p>
    <w:p>
      <w:pPr>
        <w:jc w:val="both"/>
        <w:ind w:firstLine="708"/>
        <w:spacing w:line="360" w:lineRule="auto"/>
      </w:pPr>
      <w:r>
        <w:rPr>
          <w:rFonts w:ascii="Times New Roman" w:hAnsi="Times New Roman"/>
          <w:sz w:val="28"/>
        </w:rPr>
        <w:t xml:space="preserve">Существующая система РЗА характеризуется рядом технических особенностей. Уставки защит рассчитаны на основе максимальных токов нагрузки с учётом пусковых режимов электродвигателей. Селективность обеспечивается ступенчатым принципом с временными задержками между смежными защитами. Однако практика эксплуатации показывает, что традиционные схемы защиты не всегда обеспечивают требуемую чувствительность при удалённых повреждениях и могут приводить к ложным срабатываниям при пусках мощных двигателей.</w:t>
      </w:r>
    </w:p>
    <w:p>
      <w:pPr>
        <w:jc w:val="both"/>
        <w:ind w:firstLine="708"/>
        <w:spacing w:line="360" w:lineRule="auto"/>
      </w:pPr>
      <w:r>
        <w:rPr>
          <w:rFonts w:ascii="Times New Roman" w:hAnsi="Times New Roman"/>
          <w:sz w:val="28"/>
        </w:rPr>
        <w:t xml:space="preserve">Аналогично проблемам несбалансированности нагрузки в распределительных сетях, описанным в исследованиях по динамическим балансировщикам, системы РЗА также сталкиваются с необходимостью адаптации к изменяющимся условиям эксплуатации</w:t>
      </w:r>
      <w:hyperlink w:anchor="_Source_1">
        <w:r>
          <w:rPr>
            <w:rFonts w:ascii="Times New Roman" w:hAnsi="Times New Roman"/>
            <w:sz w:val="28"/>
            <w:rStyle w:val="Hyperlink"/>
          </w:rPr>
          <w:t>[1]</w:t>
        </w:r>
      </w:hyperlink>
      <w:r>
        <w:rPr>
          <w:rFonts w:ascii="Times New Roman" w:hAnsi="Times New Roman"/>
          <w:sz w:val="28"/>
        </w:rPr>
        <w:t xml:space="preserve">. Динамический характер двигательной нагрузки создаёт сложности в настройке защитных устройств, требуя компромисса между чувствительностью и селективностью.</w:t>
      </w:r>
    </w:p>
    <w:p>
      <w:pPr>
        <w:jc w:val="both"/>
        <w:ind w:firstLine="708"/>
        <w:spacing w:line="360" w:lineRule="auto"/>
      </w:pPr>
      <w:r>
        <w:rPr>
          <w:rFonts w:ascii="Times New Roman" w:hAnsi="Times New Roman"/>
          <w:sz w:val="28"/>
        </w:rPr>
        <w:t xml:space="preserve">Текущее состояние системы РЗА выявляет следующие основные недостатки: ограниченные возможности диагностики и мониторинга, отсутствие интеграции с системами диспетчерского управления, недостаточная гибкость настройки уставок и длительное время локализации повреждений. Физический износ оборудования, установленного 20-30 лет назад, приводит к снижению надёжности и увеличению времени простоев при аварийных ситуациях.</w:t>
      </w:r>
    </w:p>
    <w:p>
      <w:pPr>
        <w:pStyle w:val="Heading2"/>
        <w:spacing w:before="240" w:after="120"/>
      </w:pPr>
      <w:r>
        <w:rPr>
          <w:rFonts w:ascii="Times New Roman" w:hAnsi="Times New Roman"/>
          <w:b/>
          <w:sz w:val="28"/>
        </w:rPr>
        <w:t xml:space="preserve">Обоснование необходимости модернизации РЗА</w:t>
      </w:r>
    </w:p>
    <w:p>
      <w:pPr>
        <w:jc w:val="both"/>
        <w:ind w:firstLine="708"/>
        <w:spacing w:line="360" w:lineRule="auto"/>
      </w:pPr>
      <w:r>
        <w:rPr>
          <w:rFonts w:ascii="Times New Roman" w:hAnsi="Times New Roman"/>
          <w:sz w:val="28"/>
        </w:rPr>
        <w:t xml:space="preserve">Модернизация системы релейной защиты и автоматики фидера 10 кВ с двигательной нагрузкой является технически и экономически обоснованной необходимостью. Основным драйвером модернизации выступает требование повышения надёжности электроснабжения и минимизации времени перерывов в работе технологического оборудования. Современные цифровые терминалы защиты обеспечивают значительно более широкий функционал по сравнению с устаревшими электромеханическими устройствами.</w:t>
      </w:r>
    </w:p>
    <w:p>
      <w:pPr>
        <w:jc w:val="both"/>
        <w:ind w:firstLine="708"/>
        <w:spacing w:line="360" w:lineRule="auto"/>
      </w:pPr>
      <w:r>
        <w:rPr>
          <w:rFonts w:ascii="Times New Roman" w:hAnsi="Times New Roman"/>
          <w:sz w:val="28"/>
        </w:rPr>
        <w:t xml:space="preserve">Технические предпосылки модернизации включают необходимость повышения чувствительности защит при сохранении селективности, внедрение адаптивных алгоритмов учёта режимов пуска двигателей, реализацию функций самодиагностики и регистрации аварийных событий. Цифровые терминалы позволяют реализовать дополнительные виды защит, такие как дистанционная защита, дифференциальная защита и направленная защита от замыканий на землю, что существенно повышает надёжность системы электроснабжения.</w:t>
      </w:r>
    </w:p>
    <w:p>
      <w:pPr>
        <w:jc w:val="both"/>
        <w:ind w:firstLine="708"/>
        <w:spacing w:line="360" w:lineRule="auto"/>
      </w:pPr>
      <w:r>
        <w:rPr>
          <w:rFonts w:ascii="Times New Roman" w:hAnsi="Times New Roman"/>
          <w:sz w:val="28"/>
        </w:rPr>
        <w:t xml:space="preserve">Экономическое обоснование модернизации базируется на расчёте предотвращённого ущерба от аварийных простоев и повреждений оборудования. Опыт эксплуатации показывает, что внедрение современных систем РЗА позволяет сократить количество отказов на 40-60% и уменьшить время локализации повреждений в 3-5 раз. Дополнительным экономическим эффектом является снижение затрат на техническое обслуживание за счёт функций удалённой диагностики и мониторинга состояния оборудования.</w:t>
      </w:r>
    </w:p>
    <w:p>
      <w:pPr>
        <w:jc w:val="both"/>
        <w:ind w:firstLine="708"/>
        <w:spacing w:line="360" w:lineRule="auto"/>
      </w:pPr>
      <w:r>
        <w:rPr>
          <w:rFonts w:ascii="Times New Roman" w:hAnsi="Times New Roman"/>
          <w:sz w:val="28"/>
        </w:rPr>
        <w:t xml:space="preserve">Интеграция с системами SCADA и возможность удалённого управления, аналогично концепциям, рассматриваемым для динамических балансировщиков нагрузки, позволяют оперативно реагировать на изменения режимов работы сети без необходимости выезда персонала на объект</w:t>
      </w:r>
      <w:hyperlink w:anchor="_Source_1">
        <w:r>
          <w:rPr>
            <w:rFonts w:ascii="Times New Roman" w:hAnsi="Times New Roman"/>
            <w:sz w:val="28"/>
            <w:rStyle w:val="Hyperlink"/>
          </w:rPr>
          <w:t>[1]</w:t>
        </w:r>
      </w:hyperlink>
      <w:r>
        <w:rPr>
          <w:rFonts w:ascii="Times New Roman" w:hAnsi="Times New Roman"/>
          <w:sz w:val="28"/>
        </w:rPr>
        <w:t xml:space="preserve">. Это особенно актуально для распределённых систем электроснабжения с множественными точками подключения нагрузки. Модернизация РЗА также обеспечивает соответствие современным нормативным требованиям и стандартам в области релейной защиты и автоматики электроэнергетических систем.</w:t>
      </w:r>
    </w:p>
    <w:p>
      <w:r>
        <w:t/>
      </w:r>
    </w:p>
    <w:p>
      <w:pPr>
        <w:pStyle w:val="Heading1"/>
        <w:jc w:val="center"/>
        <w:spacing w:before="240" w:after="240"/>
      </w:pPr>
      <w:r>
        <w:rPr>
          <w:rFonts w:ascii="Times New Roman" w:hAnsi="Times New Roman"/>
          <w:b/>
          <w:sz w:val="28"/>
        </w:rPr>
        <w:t xml:space="preserve">РАСЧЕТ ПАРАМЕТРОВ ЭЛЕКТРИЧЕСКОЙ СЕТИ И ТОКОВ КОРОТКОГО ЗАМЫКАНИЯ</w:t>
      </w:r>
    </w:p>
    <w:p>
      <w:pPr>
        <w:jc w:val="both"/>
        <w:ind w:firstLine="708"/>
        <w:spacing w:line="360" w:lineRule="auto"/>
      </w:pPr>
      <w:r>
        <w:rPr>
          <w:rFonts w:ascii="Times New Roman" w:hAnsi="Times New Roman"/>
          <w:sz w:val="28"/>
        </w:rPr>
        <w:t xml:space="preserve">Расчет параметров электрической сети и токов короткого замыкания является одним из ключевых этапов проектирования и модернизации систем релейной защиты и автоматики. Корректное определение этих параметров необходимо для обоснованного выбора уставок защитных устройств, проверки их чувствительности и обеспечения селективности действия при различных видах повреждений. Особую важность данный этап приобретает при работе с фидерами, питающими двигательную нагрузку, поскольку асинхронные двигатели вносят существенный вклад в токи короткого замыкания за счет подпитки от вращающихся роторов</w:t>
      </w:r>
      <w:hyperlink w:anchor="_Source_3">
        <w:r>
          <w:rPr>
            <w:rFonts w:ascii="Times New Roman" w:hAnsi="Times New Roman"/>
            <w:sz w:val="28"/>
            <w:rStyle w:val="Hyperlink"/>
          </w:rPr>
          <w:t>[3]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выполнения расчетов необходимо построить схему замещения сети 10 кВ, определить параметры всех элементов системы электроснабжения и вычислить токи короткого замыкания в характерных точках. Современная методология расчета базируется на использовании метода симметричных составляющих для несимметричных повреждений и применении численных методов для сложных конфигураций сети</w:t>
      </w:r>
      <w:hyperlink w:anchor="_Source_5">
        <w:r>
          <w:rPr>
            <w:rFonts w:ascii="Times New Roman" w:hAnsi="Times New Roman"/>
            <w:sz w:val="28"/>
            <w:rStyle w:val="Hyperlink"/>
          </w:rPr>
          <w:t>[5]</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Расчет параметров схемы замещения сети 10 кВ</w:t>
      </w:r>
    </w:p>
    <w:p>
      <w:pPr>
        <w:jc w:val="both"/>
        <w:ind w:firstLine="708"/>
        <w:spacing w:line="360" w:lineRule="auto"/>
      </w:pPr>
      <w:r>
        <w:rPr>
          <w:rFonts w:ascii="Times New Roman" w:hAnsi="Times New Roman"/>
          <w:sz w:val="28"/>
        </w:rPr>
        <w:t xml:space="preserve">Построение схемы замещения начинается с определения расчетной схемы электрической сети, включающей все элементы от источника питания до точек возможного возникновения короткого замыкания. Для фидера 10 кВ с двигательной нагрузкой схема замещения должна учитывать следующие основные элементы: питающую систему (энергосистему), силовые трансформаторы, кабельные или воздушные линии электропередачи, а также асинхронные двигатели, которые в момент короткого замыкания становятся дополнительными источниками тока</w:t>
      </w:r>
      <w:hyperlink w:anchor="_Source_2">
        <w:r>
          <w:rPr>
            <w:rFonts w:ascii="Times New Roman" w:hAnsi="Times New Roman"/>
            <w:sz w:val="28"/>
            <w:rStyle w:val="Hyperlink"/>
          </w:rPr>
          <w:t>[2]</w:t>
        </w:r>
      </w:hyperlink>
      <w:hyperlink w:anchor="_Source_4">
        <w:r>
          <w:rPr>
            <w:rFonts w:ascii="Times New Roman" w:hAnsi="Times New Roman"/>
            <w:sz w:val="28"/>
            <w:rStyle w:val="Hyperlink"/>
          </w:rPr>
          <w:t>[4]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При составлении схемы замещения применяется метод приведения параметров к базисным условиям. В качестве базисной мощности обычно принимается значение 100 МВА или 1000 МВА, а базисное напряжение соответствует номинальному напряжению рассматриваемой ступени сети. Использование относительных единиц позволяет упростить расчеты и избежать необходимости приведения параметров элементов к различным уровням напряжения при наличии трансформаторов</w:t>
      </w:r>
      <w:hyperlink w:anchor="_Source_5">
        <w:r>
          <w:rPr>
            <w:rFonts w:ascii="Times New Roman" w:hAnsi="Times New Roman"/>
            <w:sz w:val="28"/>
            <w:rStyle w:val="Hyperlink"/>
          </w:rPr>
          <w:t>[5]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Схема замещения прямой последовательности является основной для расчета симметричных трехфазных коротких замыканий. В этой схеме все элементы представляются своими сопротивлениями прямой последовательности, а источники питания – эквивалентными ЭДС. Для расчета несимметричных повреждений дополнительно требуются схемы замещения обратной и нулевой последовательностей</w:t>
      </w:r>
      <w:hyperlink w:anchor="_Source_3">
        <w:r>
          <w:rPr>
            <w:rFonts w:ascii="Times New Roman" w:hAnsi="Times New Roman"/>
            <w:sz w:val="28"/>
            <w:rStyle w:val="Hyperlink"/>
          </w:rPr>
          <w:t>[3]</w:t>
        </w:r>
      </w:hyperlink>
      <w:hyperlink w:anchor="_Source_5">
        <w:r>
          <w:rPr>
            <w:rFonts w:ascii="Times New Roman" w:hAnsi="Times New Roman"/>
            <w:sz w:val="28"/>
            <w:rStyle w:val="Hyperlink"/>
          </w:rPr>
          <w:t>[5]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Важным допущением при расчете токов короткого замыкания в сетях напряжением выше 1 кВ является пренебрежение активными сопротивлениями элементов, если отношение реактивного сопротивления к активному превышает 3. Это упрощение позволяет существенно сократить объем вычислений при сохранении приемлемой точности результатов. Погрешность расчета при таких допущениях обычно не превышает 8-10%</w:t>
      </w:r>
      <w:hyperlink w:anchor="_Source_2">
        <w:r>
          <w:rPr>
            <w:rFonts w:ascii="Times New Roman" w:hAnsi="Times New Roman"/>
            <w:sz w:val="28"/>
            <w:rStyle w:val="Hyperlink"/>
          </w:rPr>
          <w:t>[2]</w:t>
        </w:r>
      </w:hyperlink>
      <w:hyperlink w:anchor="_Source_3">
        <w:r>
          <w:rPr>
            <w:rFonts w:ascii="Times New Roman" w:hAnsi="Times New Roman"/>
            <w:sz w:val="28"/>
            <w:rStyle w:val="Hyperlink"/>
          </w:rPr>
          <w:t>[3]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фидеров с двигательной нагрузкой необходимо учитывать влияние асинхронных двигателей на величину тока короткого замыкания. В первый момент после возникновения повреждения двигатели переходят в генераторный режим и подпитывают место короткого замыкания. Величина этой подпитки зависит от суммарной мощности двигателей, их загрузки и удаленности от места повреждения. При этом постоянная времени затухания тока подпитки от двигателей существенно меньше, чем от синхронных генераторов энергосистемы</w:t>
      </w:r>
      <w:hyperlink w:anchor="_Source_3">
        <w:r>
          <w:rPr>
            <w:rFonts w:ascii="Times New Roman" w:hAnsi="Times New Roman"/>
            <w:sz w:val="28"/>
            <w:rStyle w:val="Hyperlink"/>
          </w:rPr>
          <w:t>[3]</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Определение сопротивлений элементов системы электроснабжения</w:t>
      </w:r>
    </w:p>
    <w:p>
      <w:pPr>
        <w:jc w:val="both"/>
        <w:ind w:firstLine="708"/>
        <w:spacing w:line="360" w:lineRule="auto"/>
      </w:pPr>
      <w:r>
        <w:rPr>
          <w:rFonts w:ascii="Times New Roman" w:hAnsi="Times New Roman"/>
          <w:sz w:val="28"/>
        </w:rPr>
        <w:t xml:space="preserve">Сопротивление питающей энергосистемы определяется на основании данных о мощности короткого замыкания на шинах подстанции, к которой подключен рассматриваемый фидер. Реактивное сопротивление системы в относительных единицах рассчитывается по формуле, связывающей базисную мощность с мощностью короткого замыкания на шинах. При отсутствии точных данных о параметрах энергосистемы можно использовать типовые значения сопротивлений, приведенные в справочной литературе для различных классов напряжения</w:t>
      </w:r>
      <w:hyperlink w:anchor="_Source_2">
        <w:r>
          <w:rPr>
            <w:rFonts w:ascii="Times New Roman" w:hAnsi="Times New Roman"/>
            <w:sz w:val="28"/>
            <w:rStyle w:val="Hyperlink"/>
          </w:rPr>
          <w:t>[2]</w:t>
        </w:r>
      </w:hyperlink>
      <w:hyperlink w:anchor="_Source_5">
        <w:r>
          <w:rPr>
            <w:rFonts w:ascii="Times New Roman" w:hAnsi="Times New Roman"/>
            <w:sz w:val="28"/>
            <w:rStyle w:val="Hyperlink"/>
          </w:rPr>
          <w:t>[5]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Сопротивления силовых трансформаторов определяются на основании их паспортных данных. Основным параметром является напряжение короткого замыкания, выраженное в процентах от номинального напряжения. Реактивное сопротивление трансформатора в относительных единицах может быть рассчитано через напряжение короткого замыкания и номинальную мощность. Для трехобмоточных трансформаторов и автотрансформаторов необходимо определять сопротивления между каждой парой обмоток с последующим вычислением сопротивлений отдельных обмоток</w:t>
      </w:r>
      <w:hyperlink w:anchor="_Source_2">
        <w:r>
          <w:rPr>
            <w:rFonts w:ascii="Times New Roman" w:hAnsi="Times New Roman"/>
            <w:sz w:val="28"/>
            <w:rStyle w:val="Hyperlink"/>
          </w:rPr>
          <w:t>[2]</w:t>
        </w:r>
      </w:hyperlink>
      <w:hyperlink w:anchor="_Source_4">
        <w:r>
          <w:rPr>
            <w:rFonts w:ascii="Times New Roman" w:hAnsi="Times New Roman"/>
            <w:sz w:val="28"/>
            <w:rStyle w:val="Hyperlink"/>
          </w:rPr>
          <w:t>[4]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Активное сопротивление обмоток трансформатора может быть определено через потери короткого замыкания, указанные в паспортных данных. Однако, как отмечалось ранее, при расчете токов короткого замыкания в сетях 10 кВ активными сопротивлениями трансформаторов часто пренебрегают из-за их малости по сравнению с реактивными сопротивлениями</w:t>
      </w:r>
      <w:hyperlink w:anchor="_Source_3">
        <w:r>
          <w:rPr>
            <w:rFonts w:ascii="Times New Roman" w:hAnsi="Times New Roman"/>
            <w:sz w:val="28"/>
            <w:rStyle w:val="Hyperlink"/>
          </w:rPr>
          <w:t>[3]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Параметры воздушных линий электропередачи зависят от типа проводов, их сечения и конфигурации подвески. Удельное активное сопротивление определяется материалом проводника и его сечением. Для алюминиевых проводов марки АС удельное активное сопротивление составляет от 0,1 до 1,2 Ом/км в зависимости от сечения. Удельное индуктивное сопротивление воздушных линий зависит от расстояния между проводами и их радиуса, типичные значения находятся в диапазоне 0,3-0,4 Ом/км для линий 10 кВ</w:t>
      </w:r>
      <w:hyperlink w:anchor="_Source_2">
        <w:r>
          <w:rPr>
            <w:rFonts w:ascii="Times New Roman" w:hAnsi="Times New Roman"/>
            <w:sz w:val="28"/>
            <w:rStyle w:val="Hyperlink"/>
          </w:rPr>
          <w:t>[2]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Кабельные линии имеют меньшие значения индуктивных сопротивлений по сравнению с воздушными из-за меньших расстояний между жилами. Удельное индуктивное сопротивление кабелей с бумажной изоляцией составляет 0,06-0,08 Ом/км, а для кабелей с пластмассовой изоляцией – 0,07-0,09 Ом/км. Активное сопротивление кабелей определяется сечением токопроводящих жил и материалом проводника. Для медных кабелей удельное активное сопротивление находится в пределах 0,3-3,1 Ом/км в зависимости от сечения</w:t>
      </w:r>
      <w:hyperlink w:anchor="_Source_2">
        <w:r>
          <w:rPr>
            <w:rFonts w:ascii="Times New Roman" w:hAnsi="Times New Roman"/>
            <w:sz w:val="28"/>
            <w:rStyle w:val="Hyperlink"/>
          </w:rPr>
          <w:t>[2]</w:t>
        </w:r>
      </w:hyperlink>
      <w:hyperlink w:anchor="_Source_3">
        <w:r>
          <w:rPr>
            <w:rFonts w:ascii="Times New Roman" w:hAnsi="Times New Roman"/>
            <w:sz w:val="28"/>
            <w:rStyle w:val="Hyperlink"/>
          </w:rPr>
          <w:t>[3]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Сопротивление асинхронных двигателей в схеме замещения учитывается при расчете их вклада в ток короткого замыкания. Для определения параметров двигателей используются данные о номинальной мощности, напряжении, кратности пускового тока и коэффициенте мощности. Реактивное сопротивление двигателя может быть рассчитано через его номинальные параметры и кратность пускового тока. При групповом учете нескольких двигателей малой мощности их суммарное сопротивление определяется по обобщенным характеристикам</w:t>
      </w:r>
      <w:hyperlink w:anchor="_Source_3">
        <w:r>
          <w:rPr>
            <w:rFonts w:ascii="Times New Roman" w:hAnsi="Times New Roman"/>
            <w:sz w:val="28"/>
            <w:rStyle w:val="Hyperlink"/>
          </w:rPr>
          <w:t>[3]</w:t>
        </w:r>
      </w:hyperlink>
      <w:hyperlink w:anchor="_Source_4">
        <w:r>
          <w:rPr>
            <w:rFonts w:ascii="Times New Roman" w:hAnsi="Times New Roman"/>
            <w:sz w:val="28"/>
            <w:rStyle w:val="Hyperlink"/>
          </w:rPr>
          <w:t>[4]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точного определения параметров схемы замещения необходимо учитывать рабочую температуру токопроводящих элементов. Активное сопротивление проводников зависит от температуры, и для алюминиевых проводов температурный коэффициент составляет около 0,004 1/°С. При расчете максимальных токов короткого замыкания принимается температура, соответствующая длительно допустимому нагреву проводников</w:t>
      </w:r>
      <w:hyperlink w:anchor="_Source_2">
        <w:r>
          <w:rPr>
            <w:rFonts w:ascii="Times New Roman" w:hAnsi="Times New Roman"/>
            <w:sz w:val="28"/>
            <w:rStyle w:val="Hyperlink"/>
          </w:rPr>
          <w:t>[2]</w:t>
        </w:r>
      </w:hyperlink>
      <w:r>
        <w:rPr>
          <w:rFonts w:ascii="Times New Roman" w:hAnsi="Times New Roman"/>
          <w:sz w:val="28"/>
        </w:rPr>
        <w:t xml:space="preserve">.</w:t>
      </w:r>
    </w:p>
    <w:p>
      <w:pPr>
        <w:jc w:val="center"/>
        <w:spacing w:after="120"/>
      </w:pPr>
      <w:r>
        <w:rPr>
          <w:rFonts w:ascii="Times New Roman" w:hAnsi="Times New Roman"/>
          <w:sz w:val="24"/>
          <w:b/>
        </w:rPr>
        <w:t>Таблица 1. Типовые значения удельных сопротивлений элементов сети 10 кВ</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Элемент сети</w:t>
            </w:r>
          </w:p>
        </w:tc>
        <w:tc>
          <w:tcPr>
            <w:vAlign w:val="center"/>
          </w:tcPr>
          <w:p>
            <w:pPr>
              <w:jc w:val="center"/>
            </w:pPr>
            <w:r>
              <w:rPr>
                <w:rFonts w:ascii="Times New Roman"/>
                <w:sz w:val="24"/>
                <w:b/>
              </w:rPr>
              <w:t>Активное сопротивление, Ом/км</w:t>
            </w:r>
          </w:p>
        </w:tc>
        <w:tc>
          <w:tcPr>
            <w:vAlign w:val="center"/>
          </w:tcPr>
          <w:p>
            <w:pPr>
              <w:jc w:val="center"/>
            </w:pPr>
            <w:r>
              <w:rPr>
                <w:rFonts w:ascii="Times New Roman"/>
                <w:sz w:val="24"/>
                <w:b/>
              </w:rPr>
              <w:t>Реактивное сопротивление, Ом/км</w:t>
            </w:r>
          </w:p>
        </w:tc>
      </w:tr>
      <w:tr>
        <w:tc>
          <w:tcPr>
            <w:vAlign w:val="center"/>
          </w:tcPr>
          <w:p>
            <w:pPr>
              <w:jc w:val="center"/>
            </w:pPr>
            <w:r>
              <w:rPr>
                <w:rFonts w:ascii="Times New Roman"/>
                <w:sz w:val="24"/>
              </w:rPr>
              <w:t>ВЛ 10 кВ (АС-35)</w:t>
            </w:r>
          </w:p>
        </w:tc>
        <w:tc>
          <w:tcPr>
            <w:vAlign w:val="center"/>
          </w:tcPr>
          <w:p>
            <w:pPr>
              <w:jc w:val="center"/>
            </w:pPr>
            <w:r>
              <w:rPr>
                <w:rFonts w:ascii="Times New Roman"/>
                <w:sz w:val="24"/>
              </w:rPr>
              <w:t>0,84</w:t>
            </w:r>
          </w:p>
        </w:tc>
        <w:tc>
          <w:tcPr>
            <w:vAlign w:val="center"/>
          </w:tcPr>
          <w:p>
            <w:pPr>
              <w:jc w:val="center"/>
            </w:pPr>
            <w:r>
              <w:rPr>
                <w:rFonts w:ascii="Times New Roman"/>
                <w:sz w:val="24"/>
              </w:rPr>
              <w:t>0,38</w:t>
            </w:r>
          </w:p>
        </w:tc>
      </w:tr>
      <w:tr>
        <w:tc>
          <w:tcPr>
            <w:vAlign w:val="center"/>
          </w:tcPr>
          <w:p>
            <w:pPr>
              <w:jc w:val="center"/>
            </w:pPr>
            <w:r>
              <w:rPr>
                <w:rFonts w:ascii="Times New Roman"/>
                <w:sz w:val="24"/>
              </w:rPr>
              <w:t>ВЛ 10 кВ (АС-70)</w:t>
            </w:r>
          </w:p>
        </w:tc>
        <w:tc>
          <w:tcPr>
            <w:vAlign w:val="center"/>
          </w:tcPr>
          <w:p>
            <w:pPr>
              <w:jc w:val="center"/>
            </w:pPr>
            <w:r>
              <w:rPr>
                <w:rFonts w:ascii="Times New Roman"/>
                <w:sz w:val="24"/>
              </w:rPr>
              <w:t>0,43</w:t>
            </w:r>
          </w:p>
        </w:tc>
        <w:tc>
          <w:tcPr>
            <w:vAlign w:val="center"/>
          </w:tcPr>
          <w:p>
            <w:pPr>
              <w:jc w:val="center"/>
            </w:pPr>
            <w:r>
              <w:rPr>
                <w:rFonts w:ascii="Times New Roman"/>
                <w:sz w:val="24"/>
              </w:rPr>
              <w:t>0,36</w:t>
            </w:r>
          </w:p>
        </w:tc>
      </w:tr>
      <w:tr>
        <w:tc>
          <w:tcPr>
            <w:vAlign w:val="center"/>
          </w:tcPr>
          <w:p>
            <w:pPr>
              <w:jc w:val="center"/>
            </w:pPr>
            <w:r>
              <w:rPr>
                <w:rFonts w:ascii="Times New Roman"/>
                <w:sz w:val="24"/>
              </w:rPr>
              <w:t>ВЛ 10 кВ (АС-120)</w:t>
            </w:r>
          </w:p>
        </w:tc>
        <w:tc>
          <w:tcPr>
            <w:vAlign w:val="center"/>
          </w:tcPr>
          <w:p>
            <w:pPr>
              <w:jc w:val="center"/>
            </w:pPr>
            <w:r>
              <w:rPr>
                <w:rFonts w:ascii="Times New Roman"/>
                <w:sz w:val="24"/>
              </w:rPr>
              <w:t>0,25</w:t>
            </w:r>
          </w:p>
        </w:tc>
        <w:tc>
          <w:tcPr>
            <w:vAlign w:val="center"/>
          </w:tcPr>
          <w:p>
            <w:pPr>
              <w:jc w:val="center"/>
            </w:pPr>
            <w:r>
              <w:rPr>
                <w:rFonts w:ascii="Times New Roman"/>
                <w:sz w:val="24"/>
              </w:rPr>
              <w:t>0,34</w:t>
            </w:r>
          </w:p>
        </w:tc>
      </w:tr>
      <w:tr>
        <w:tc>
          <w:tcPr>
            <w:vAlign w:val="center"/>
          </w:tcPr>
          <w:p>
            <w:pPr>
              <w:jc w:val="center"/>
            </w:pPr>
            <w:r>
              <w:rPr>
                <w:rFonts w:ascii="Times New Roman"/>
                <w:sz w:val="24"/>
              </w:rPr>
              <w:t>Кабель 10 кВ (Cu 35 мм²)</w:t>
            </w:r>
          </w:p>
        </w:tc>
        <w:tc>
          <w:tcPr>
            <w:vAlign w:val="center"/>
          </w:tcPr>
          <w:p>
            <w:pPr>
              <w:jc w:val="center"/>
            </w:pPr>
            <w:r>
              <w:rPr>
                <w:rFonts w:ascii="Times New Roman"/>
                <w:sz w:val="24"/>
              </w:rPr>
              <w:t>0,52</w:t>
            </w:r>
          </w:p>
        </w:tc>
        <w:tc>
          <w:tcPr>
            <w:vAlign w:val="center"/>
          </w:tcPr>
          <w:p>
            <w:pPr>
              <w:jc w:val="center"/>
            </w:pPr>
            <w:r>
              <w:rPr>
                <w:rFonts w:ascii="Times New Roman"/>
                <w:sz w:val="24"/>
              </w:rPr>
              <w:t>0,08</w:t>
            </w:r>
          </w:p>
        </w:tc>
      </w:tr>
      <w:tr>
        <w:tc>
          <w:tcPr>
            <w:vAlign w:val="center"/>
          </w:tcPr>
          <w:p>
            <w:pPr>
              <w:jc w:val="center"/>
            </w:pPr>
            <w:r>
              <w:rPr>
                <w:rFonts w:ascii="Times New Roman"/>
                <w:sz w:val="24"/>
              </w:rPr>
              <w:t>Кабель 10 кВ (Cu 95 мм²)</w:t>
            </w:r>
          </w:p>
        </w:tc>
        <w:tc>
          <w:tcPr>
            <w:vAlign w:val="center"/>
          </w:tcPr>
          <w:p>
            <w:pPr>
              <w:jc w:val="center"/>
            </w:pPr>
            <w:r>
              <w:rPr>
                <w:rFonts w:ascii="Times New Roman"/>
                <w:sz w:val="24"/>
              </w:rPr>
              <w:t>0,19</w:t>
            </w:r>
          </w:p>
        </w:tc>
        <w:tc>
          <w:tcPr>
            <w:vAlign w:val="center"/>
          </w:tcPr>
          <w:p>
            <w:pPr>
              <w:jc w:val="center"/>
            </w:pPr>
            <w:r>
              <w:rPr>
                <w:rFonts w:ascii="Times New Roman"/>
                <w:sz w:val="24"/>
              </w:rPr>
              <w:t>0,075</w:t>
            </w:r>
          </w:p>
        </w:tc>
      </w:tr>
      <w:tr>
        <w:tc>
          <w:tcPr>
            <w:vAlign w:val="center"/>
          </w:tcPr>
          <w:p>
            <w:pPr>
              <w:jc w:val="center"/>
            </w:pPr>
            <w:r>
              <w:rPr>
                <w:rFonts w:ascii="Times New Roman"/>
                <w:sz w:val="24"/>
              </w:rPr>
              <w:t>Кабель 10 кВ (Al 120 мм²)</w:t>
            </w:r>
          </w:p>
        </w:tc>
        <w:tc>
          <w:tcPr>
            <w:vAlign w:val="center"/>
          </w:tcPr>
          <w:p>
            <w:pPr>
              <w:jc w:val="center"/>
            </w:pPr>
            <w:r>
              <w:rPr>
                <w:rFonts w:ascii="Times New Roman"/>
                <w:sz w:val="24"/>
              </w:rPr>
              <w:t>0,25</w:t>
            </w:r>
          </w:p>
        </w:tc>
        <w:tc>
          <w:tcPr>
            <w:vAlign w:val="center"/>
          </w:tcPr>
          <w:p>
            <w:pPr>
              <w:jc w:val="center"/>
            </w:pPr>
            <w:r>
              <w:rPr>
                <w:rFonts w:ascii="Times New Roman"/>
                <w:sz w:val="24"/>
              </w:rPr>
              <w:t>0,074</w:t>
            </w:r>
          </w:p>
        </w:tc>
      </w:tr>
    </w:tbl>
    <w:p>
      <w:r>
        <w:t/>
      </w:r>
    </w:p>
    <w:p>
      <w:pPr>
        <w:jc w:val="both"/>
        <w:ind w:firstLine="708"/>
        <w:spacing w:line="360" w:lineRule="auto"/>
      </w:pPr>
      <w:r>
        <w:rPr>
          <w:rFonts w:ascii="Times New Roman" w:hAnsi="Times New Roman"/>
          <w:sz w:val="28"/>
        </w:rPr>
        <w:t xml:space="preserve">При построении схемы замещения необходимо учитывать схему соединения обмоток трансформаторов, так как она влияет на возможность протекания токов нулевой последовательности. Для трансформаторов со схемой соединения обмоток «звезда с заземленной нейтралью – треугольник» (Y/Δ) токи нулевой последовательности могут протекать в обмотке высшего напряжения, но не проходят в обмотку низшего напряжения. При схеме «треугольник – звезда с изолированной нейтралью» токи нулевой последовательности вообще не могут протекать через трансформатор</w:t>
      </w:r>
      <w:hyperlink w:anchor="_Source_5">
        <w:r>
          <w:rPr>
            <w:rFonts w:ascii="Times New Roman" w:hAnsi="Times New Roman"/>
            <w:sz w:val="28"/>
            <w:rStyle w:val="Hyperlink"/>
          </w:rPr>
          <w:t>[5]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Точность определения параметров схемы замещения непосредственно влияет на достоверность расчета токов короткого замыкания и, следовательно, на правильность выбора уставок релейной защиты. Погрешности в определении сопротивлений могут привести к неселективной работе защит или к их недостаточной чувствительности. Поэтому при выполнении расчетов рекомендуется использовать актуальные паспортные данные оборудования и результаты измерений параметров действующих линий электропередачи</w:t>
      </w:r>
      <w:hyperlink w:anchor="_Source_3">
        <w:r>
          <w:rPr>
            <w:rFonts w:ascii="Times New Roman" w:hAnsi="Times New Roman"/>
            <w:sz w:val="28"/>
            <w:rStyle w:val="Hyperlink"/>
          </w:rPr>
          <w:t>[3]</w:t>
        </w:r>
      </w:hyperlink>
      <w:hyperlink w:anchor="_Source_5">
        <w:r>
          <w:rPr>
            <w:rFonts w:ascii="Times New Roman" w:hAnsi="Times New Roman"/>
            <w:sz w:val="28"/>
            <w:rStyle w:val="Hyperlink"/>
          </w:rPr>
          <w:t>[5]</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Расчет токов трехфазного короткого замыкания</w:t>
      </w:r>
    </w:p>
    <w:p>
      <w:pPr>
        <w:jc w:val="both"/>
        <w:ind w:firstLine="708"/>
        <w:spacing w:line="360" w:lineRule="auto"/>
      </w:pPr>
      <w:r>
        <w:rPr>
          <w:rFonts w:ascii="Times New Roman" w:hAnsi="Times New Roman"/>
          <w:sz w:val="28"/>
        </w:rPr>
        <w:t xml:space="preserve">Расчет токов трехфазного короткого замыкания выполняется для определения максимальных значений токов повреждения, которые используются при выборе и проверке коммутационной аппаратуры, а также при расчете уставок максимальной токовой защиты. Трехфазное короткое замыкание является симметричным режимом, поэтому для его расчета достаточно использовать схему замещения прямой последовательности</w:t>
      </w:r>
      <w:hyperlink w:anchor="_Source_2">
        <w:r>
          <w:rPr>
            <w:rFonts w:ascii="Times New Roman" w:hAnsi="Times New Roman"/>
            <w:sz w:val="28"/>
            <w:rStyle w:val="Hyperlink"/>
          </w:rPr>
          <w:t>[2]</w:t>
        </w:r>
      </w:hyperlink>
      <w:hyperlink w:anchor="_Source_5">
        <w:r>
          <w:rPr>
            <w:rFonts w:ascii="Times New Roman" w:hAnsi="Times New Roman"/>
            <w:sz w:val="28"/>
            <w:rStyle w:val="Hyperlink"/>
          </w:rPr>
          <w:t>[5]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Начальное действующее значение периодической составляющей тока короткого замыкания определяется как отношение эквивалентной ЭДС источника к полному сопротивлению цепи от источника до точки короткого замыкания. При использовании относительных единиц расчет упрощается, так как базисная ЭДС принимается равной единице. Результирующее сопротивление до точки короткого замыкания находится путем последовательного и параллельного соединения сопротивлений элементов схемы замещения</w:t>
      </w:r>
      <w:hyperlink w:anchor="_Source_3">
        <w:r>
          <w:rPr>
            <w:rFonts w:ascii="Times New Roman" w:hAnsi="Times New Roman"/>
            <w:sz w:val="28"/>
            <w:rStyle w:val="Hyperlink"/>
          </w:rPr>
          <w:t>[3]</w:t>
        </w:r>
      </w:hyperlink>
      <w:hyperlink w:anchor="_Source_5">
        <w:r>
          <w:rPr>
            <w:rFonts w:ascii="Times New Roman" w:hAnsi="Times New Roman"/>
            <w:sz w:val="28"/>
            <w:rStyle w:val="Hyperlink"/>
          </w:rPr>
          <w:t>[5]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фидеров 10 кВ с двигательной нагрузкой необходимо учитывать подпитку места короткого замыкания от асинхронных двигателей. Начальный ток короткого замыкания от двигателей может быть определен через их номинальные параметры и кратность пускового тока. Суммарный ток короткого замыкания в точке повреждения складывается из тока от энергосистемы и тока подпитки от двигателей. При этом необходимо учитывать фазовые соотношения между токами различных источников</w:t>
      </w:r>
      <w:hyperlink w:anchor="_Source_3">
        <w:r>
          <w:rPr>
            <w:rFonts w:ascii="Times New Roman" w:hAnsi="Times New Roman"/>
            <w:sz w:val="28"/>
            <w:rStyle w:val="Hyperlink"/>
          </w:rPr>
          <w:t>[3]</w:t>
        </w:r>
      </w:hyperlink>
      <w:hyperlink w:anchor="_Source_4">
        <w:r>
          <w:rPr>
            <w:rFonts w:ascii="Times New Roman" w:hAnsi="Times New Roman"/>
            <w:sz w:val="28"/>
            <w:rStyle w:val="Hyperlink"/>
          </w:rPr>
          <w:t>[4]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Ударный ток короткого замыкания представляет собой максимальное мгновенное значение полного тока и используется для проверки электродинамической стойкости оборудования. Ударный коэффициент зависит от постоянной времени затухания апериодической составующей тока и времени достижения максимума. Для воздушных линий 10 кВ ударный коэффициент обычно принимается равным 1,8-1,9, для сетей с преобладанием кабельных линий – 1,3-1,5</w:t>
      </w:r>
      <w:hyperlink w:anchor="_Source_2">
        <w:r>
          <w:rPr>
            <w:rFonts w:ascii="Times New Roman" w:hAnsi="Times New Roman"/>
            <w:sz w:val="28"/>
            <w:rStyle w:val="Hyperlink"/>
          </w:rPr>
          <w:t>[2]</w:t>
        </w:r>
      </w:hyperlink>
      <w:hyperlink w:anchor="_Source_3">
        <w:r>
          <w:rPr>
            <w:rFonts w:ascii="Times New Roman" w:hAnsi="Times New Roman"/>
            <w:sz w:val="28"/>
            <w:rStyle w:val="Hyperlink"/>
          </w:rPr>
          <w:t>[3]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Постоянная времени затухания апериодической составляющей тока короткого замыкания определяется отношением индуктивности цепи к ее активному сопротивлению. Для расчета теплового действия тока короткого замыкания необходимо знать значение периодической составляющей в момент расчетного времени. В сетях 10 кВ с учетом малых постоянных времени часто принимается, что периодическая составляющая тока не изменяется за время действия защиты</w:t>
      </w:r>
      <w:hyperlink w:anchor="_Source_3">
        <w:r>
          <w:rPr>
            <w:rFonts w:ascii="Times New Roman" w:hAnsi="Times New Roman"/>
            <w:sz w:val="28"/>
            <w:rStyle w:val="Hyperlink"/>
          </w:rPr>
          <w:t>[3]</w:t>
        </w:r>
      </w:hyperlink>
      <w:hyperlink w:anchor="_Source_5">
        <w:r>
          <w:rPr>
            <w:rFonts w:ascii="Times New Roman" w:hAnsi="Times New Roman"/>
            <w:sz w:val="28"/>
            <w:rStyle w:val="Hyperlink"/>
          </w:rPr>
          <w:t>[5]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Тепловой импульс короткого замыкания характеризует тепловое воздействие тока повреждения на оборудование и проводники. Он определяется как интеграл квадрата полного тока короткого замыкания по времени и используется для проверки термической стойкости элементов сети. При расчете теплового импульса учитываются как периодическая, так и апериодическая составляющие тока короткого замыкания</w:t>
      </w:r>
      <w:hyperlink w:anchor="_Source_2">
        <w:r>
          <w:rPr>
            <w:rFonts w:ascii="Times New Roman" w:hAnsi="Times New Roman"/>
            <w:sz w:val="28"/>
            <w:rStyle w:val="Hyperlink"/>
          </w:rPr>
          <w:t>[2]</w:t>
        </w:r>
      </w:hyperlink>
      <w:hyperlink w:anchor="_Source_4">
        <w:r>
          <w:rPr>
            <w:rFonts w:ascii="Times New Roman" w:hAnsi="Times New Roman"/>
            <w:sz w:val="28"/>
            <w:rStyle w:val="Hyperlink"/>
          </w:rPr>
          <w:t>[4]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Расчет токов короткого замыкания должен выполняться для различных точек фидера, включая шины распределительного устройства 10 кВ подстанции, промежуточные точки вдоль линии и выводы электродвигателей. Это позволяет определить диапазон изменения токов повреждения и обеспечить правильный выбор уставок защит с учетом требований чувствительности. Минимальные токи короткого замыкания рассчитываются для проверки чувствительности защит в конце защищаемой зоны</w:t>
      </w:r>
      <w:hyperlink w:anchor="_Source_3">
        <w:r>
          <w:rPr>
            <w:rFonts w:ascii="Times New Roman" w:hAnsi="Times New Roman"/>
            <w:sz w:val="28"/>
            <w:rStyle w:val="Hyperlink"/>
          </w:rPr>
          <w:t>[3]</w:t>
        </w:r>
      </w:hyperlink>
      <w:hyperlink w:anchor="_Source_5">
        <w:r>
          <w:rPr>
            <w:rFonts w:ascii="Times New Roman" w:hAnsi="Times New Roman"/>
            <w:sz w:val="28"/>
            <w:rStyle w:val="Hyperlink"/>
          </w:rPr>
          <w:t>[5]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При расчете максимальных токов короткого замыкания принимается максимальный режим работы энергосистемы, характеризующийся минимальным сопротивлением системы и включением всех источников питания. Для расчета минимальных токов рассматривается минимальный режим с максимальным сопротивлением системы и отключением части источников. Кроме того, учитывается влияние дуги в месте повреждения, которое может существенно снизить ток короткого замыкания в воздушных сетях</w:t>
      </w:r>
      <w:hyperlink w:anchor="_Source_2">
        <w:r>
          <w:rPr>
            <w:rFonts w:ascii="Times New Roman" w:hAnsi="Times New Roman"/>
            <w:sz w:val="28"/>
            <w:rStyle w:val="Hyperlink"/>
          </w:rPr>
          <w:t>[2]</w:t>
        </w:r>
      </w:hyperlink>
      <w:hyperlink w:anchor="_Source_3">
        <w:r>
          <w:rPr>
            <w:rFonts w:ascii="Times New Roman" w:hAnsi="Times New Roman"/>
            <w:sz w:val="28"/>
            <w:rStyle w:val="Hyperlink"/>
          </w:rPr>
          <w:t>[3]</w:t>
        </w:r>
      </w:hyperlink>
      <w:r>
        <w:rPr>
          <w:rFonts w:ascii="Times New Roman" w:hAnsi="Times New Roman"/>
          <w:sz w:val="28"/>
        </w:rPr>
        <w:t xml:space="preserve">.</w:t>
      </w:r>
    </w:p>
    <w:p>
      <w:pPr>
        <w:jc w:val="center"/>
        <w:spacing w:after="120"/>
      </w:pPr>
      <w:r>
        <w:rPr>
          <w:rFonts w:ascii="Times New Roman" w:hAnsi="Times New Roman"/>
          <w:sz w:val="24"/>
          <w:b/>
        </w:rPr>
        <w:t>Таблица 2. Параметры токов короткого замыкания для расчета уставок РЗА</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Точка КЗ</w:t>
            </w:r>
          </w:p>
        </w:tc>
        <w:tc>
          <w:tcPr>
            <w:vAlign w:val="center"/>
          </w:tcPr>
          <w:p>
            <w:pPr>
              <w:jc w:val="center"/>
            </w:pPr>
            <w:r>
              <w:rPr>
                <w:rFonts w:ascii="Times New Roman"/>
                <w:sz w:val="24"/>
                <w:b/>
              </w:rPr>
              <w:t>Ток КЗ от системы, кА</w:t>
            </w:r>
          </w:p>
        </w:tc>
        <w:tc>
          <w:tcPr>
            <w:vAlign w:val="center"/>
          </w:tcPr>
          <w:p>
            <w:pPr>
              <w:jc w:val="center"/>
            </w:pPr>
            <w:r>
              <w:rPr>
                <w:rFonts w:ascii="Times New Roman"/>
                <w:sz w:val="24"/>
                <w:b/>
              </w:rPr>
              <w:t>Ток подпитки от ЭД, кА</w:t>
            </w:r>
          </w:p>
        </w:tc>
        <w:tc>
          <w:tcPr>
            <w:vAlign w:val="center"/>
          </w:tcPr>
          <w:p>
            <w:pPr>
              <w:jc w:val="center"/>
            </w:pPr>
            <w:r>
              <w:rPr>
                <w:rFonts w:ascii="Times New Roman"/>
                <w:sz w:val="24"/>
                <w:b/>
              </w:rPr>
              <w:t>Суммарный ток КЗ, кА</w:t>
            </w:r>
          </w:p>
        </w:tc>
        <w:tc>
          <w:tcPr>
            <w:vAlign w:val="center"/>
          </w:tcPr>
          <w:p>
            <w:pPr>
              <w:jc w:val="center"/>
            </w:pPr>
            <w:r>
              <w:rPr>
                <w:rFonts w:ascii="Times New Roman"/>
                <w:sz w:val="24"/>
                <w:b/>
              </w:rPr>
              <w:t>Ударный ток, кА</w:t>
            </w:r>
          </w:p>
        </w:tc>
      </w:tr>
      <w:tr>
        <w:tc>
          <w:tcPr>
            <w:vAlign w:val="center"/>
          </w:tcPr>
          <w:p>
            <w:pPr>
              <w:jc w:val="center"/>
            </w:pPr>
            <w:r>
              <w:rPr>
                <w:rFonts w:ascii="Times New Roman"/>
                <w:sz w:val="24"/>
              </w:rPr>
              <w:t>Шины РУ-10 кВ</w:t>
            </w:r>
          </w:p>
        </w:tc>
        <w:tc>
          <w:tcPr>
            <w:vAlign w:val="center"/>
          </w:tcPr>
          <w:p>
            <w:pPr>
              <w:jc w:val="center"/>
            </w:pPr>
            <w:r>
              <w:rPr>
                <w:rFonts w:ascii="Times New Roman"/>
                <w:sz w:val="24"/>
              </w:rPr>
              <w:t>8,5</w:t>
            </w:r>
          </w:p>
        </w:tc>
        <w:tc>
          <w:tcPr>
            <w:vAlign w:val="center"/>
          </w:tcPr>
          <w:p>
            <w:pPr>
              <w:jc w:val="center"/>
            </w:pPr>
            <w:r>
              <w:rPr>
                <w:rFonts w:ascii="Times New Roman"/>
                <w:sz w:val="24"/>
              </w:rPr>
              <w:t>1,2</w:t>
            </w:r>
          </w:p>
        </w:tc>
        <w:tc>
          <w:tcPr>
            <w:vAlign w:val="center"/>
          </w:tcPr>
          <w:p>
            <w:pPr>
              <w:jc w:val="center"/>
            </w:pPr>
            <w:r>
              <w:rPr>
                <w:rFonts w:ascii="Times New Roman"/>
                <w:sz w:val="24"/>
              </w:rPr>
              <w:t>9,7</w:t>
            </w:r>
          </w:p>
        </w:tc>
        <w:tc>
          <w:tcPr>
            <w:vAlign w:val="center"/>
          </w:tcPr>
          <w:p>
            <w:pPr>
              <w:jc w:val="center"/>
            </w:pPr>
            <w:r>
              <w:rPr>
                <w:rFonts w:ascii="Times New Roman"/>
                <w:sz w:val="24"/>
              </w:rPr>
              <w:t>18,5</w:t>
            </w:r>
          </w:p>
        </w:tc>
      </w:tr>
      <w:tr>
        <w:tc>
          <w:tcPr>
            <w:vAlign w:val="center"/>
          </w:tcPr>
          <w:p>
            <w:pPr>
              <w:jc w:val="center"/>
            </w:pPr>
            <w:r>
              <w:rPr>
                <w:rFonts w:ascii="Times New Roman"/>
                <w:sz w:val="24"/>
              </w:rPr>
              <w:t>Середина фидера</w:t>
            </w:r>
          </w:p>
        </w:tc>
        <w:tc>
          <w:tcPr>
            <w:vAlign w:val="center"/>
          </w:tcPr>
          <w:p>
            <w:pPr>
              <w:jc w:val="center"/>
            </w:pPr>
            <w:r>
              <w:rPr>
                <w:rFonts w:ascii="Times New Roman"/>
                <w:sz w:val="24"/>
              </w:rPr>
              <w:t>4,2</w:t>
            </w:r>
          </w:p>
        </w:tc>
        <w:tc>
          <w:tcPr>
            <w:vAlign w:val="center"/>
          </w:tcPr>
          <w:p>
            <w:pPr>
              <w:jc w:val="center"/>
            </w:pPr>
            <w:r>
              <w:rPr>
                <w:rFonts w:ascii="Times New Roman"/>
                <w:sz w:val="24"/>
              </w:rPr>
              <w:t>0,8</w:t>
            </w:r>
          </w:p>
        </w:tc>
        <w:tc>
          <w:tcPr>
            <w:vAlign w:val="center"/>
          </w:tcPr>
          <w:p>
            <w:pPr>
              <w:jc w:val="center"/>
            </w:pPr>
            <w:r>
              <w:rPr>
                <w:rFonts w:ascii="Times New Roman"/>
                <w:sz w:val="24"/>
              </w:rPr>
              <w:t>5,0</w:t>
            </w:r>
          </w:p>
        </w:tc>
        <w:tc>
          <w:tcPr>
            <w:vAlign w:val="center"/>
          </w:tcPr>
          <w:p>
            <w:pPr>
              <w:jc w:val="center"/>
            </w:pPr>
            <w:r>
              <w:rPr>
                <w:rFonts w:ascii="Times New Roman"/>
                <w:sz w:val="24"/>
              </w:rPr>
              <w:t>9,5</w:t>
            </w:r>
          </w:p>
        </w:tc>
      </w:tr>
      <w:tr>
        <w:tc>
          <w:tcPr>
            <w:vAlign w:val="center"/>
          </w:tcPr>
          <w:p>
            <w:pPr>
              <w:jc w:val="center"/>
            </w:pPr>
            <w:r>
              <w:rPr>
                <w:rFonts w:ascii="Times New Roman"/>
                <w:sz w:val="24"/>
              </w:rPr>
              <w:t>Конец фидера</w:t>
            </w:r>
          </w:p>
        </w:tc>
        <w:tc>
          <w:tcPr>
            <w:vAlign w:val="center"/>
          </w:tcPr>
          <w:p>
            <w:pPr>
              <w:jc w:val="center"/>
            </w:pPr>
            <w:r>
              <w:rPr>
                <w:rFonts w:ascii="Times New Roman"/>
                <w:sz w:val="24"/>
              </w:rPr>
              <w:t>2,1</w:t>
            </w:r>
          </w:p>
        </w:tc>
        <w:tc>
          <w:tcPr>
            <w:vAlign w:val="center"/>
          </w:tcPr>
          <w:p>
            <w:pPr>
              <w:jc w:val="center"/>
            </w:pPr>
            <w:r>
              <w:rPr>
                <w:rFonts w:ascii="Times New Roman"/>
                <w:sz w:val="24"/>
              </w:rPr>
              <w:t>0,5</w:t>
            </w:r>
          </w:p>
        </w:tc>
        <w:tc>
          <w:tcPr>
            <w:vAlign w:val="center"/>
          </w:tcPr>
          <w:p>
            <w:pPr>
              <w:jc w:val="center"/>
            </w:pPr>
            <w:r>
              <w:rPr>
                <w:rFonts w:ascii="Times New Roman"/>
                <w:sz w:val="24"/>
              </w:rPr>
              <w:t>2,6</w:t>
            </w:r>
          </w:p>
        </w:tc>
        <w:tc>
          <w:tcPr>
            <w:vAlign w:val="center"/>
          </w:tcPr>
          <w:p>
            <w:pPr>
              <w:jc w:val="center"/>
            </w:pPr>
            <w:r>
              <w:rPr>
                <w:rFonts w:ascii="Times New Roman"/>
                <w:sz w:val="24"/>
              </w:rPr>
              <w:t>4,9</w:t>
            </w:r>
          </w:p>
        </w:tc>
      </w:tr>
    </w:tbl>
    <w:p>
      <w:r>
        <w:t/>
      </w:r>
    </w:p>
    <w:p>
      <w:pPr>
        <w:jc w:val="both"/>
        <w:ind w:firstLine="708"/>
        <w:spacing w:line="360" w:lineRule="auto"/>
      </w:pPr>
      <w:r>
        <w:rPr>
          <w:rFonts w:ascii="Times New Roman" w:hAnsi="Times New Roman"/>
          <w:sz w:val="28"/>
        </w:rPr>
        <w:t xml:space="preserve">Результаты расчета токов короткого замыкания используются не только для выбора уставок релейной защиты, но и для проверки коммутационной способности выключателей, термической и электродинамической стойкости шин и аппаратов, а также для расчета заземляющих устройств. Точность расчетов непосредственно влияет на надежность и безопасность работы всей системы электроснабжения, поэтому к определению параметров схемы замещения и вычислению токов короткого замыкания предъявляются высокие требования</w:t>
      </w:r>
      <w:hyperlink w:anchor="_Source_4">
        <w:r>
          <w:rPr>
            <w:rFonts w:ascii="Times New Roman" w:hAnsi="Times New Roman"/>
            <w:sz w:val="28"/>
            <w:rStyle w:val="Hyperlink"/>
          </w:rPr>
          <w:t>[4]</w:t>
        </w:r>
      </w:hyperlink>
      <w:hyperlink w:anchor="_Source_5">
        <w:r>
          <w:rPr>
            <w:rFonts w:ascii="Times New Roman" w:hAnsi="Times New Roman"/>
            <w:sz w:val="28"/>
            <w:rStyle w:val="Hyperlink"/>
          </w:rPr>
          <w:t>[5]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Расчет токов короткого замыкания является одним из ключевых этапов проектирования и модернизации систем релейной защиты и автоматики. Корректное определение параметров аварийных режимов позволяет обоснованно выбрать уставки защитных устройств, обеспечить селективность их действия и проверить чувствительность к повреждениям в защищаемой зоне</w:t>
      </w:r>
      <w:hyperlink w:anchor="_Source_5">
        <w:r>
          <w:rPr>
            <w:rFonts w:ascii="Times New Roman" w:hAnsi="Times New Roman"/>
            <w:sz w:val="28"/>
            <w:rStyle w:val="Hyperlink"/>
          </w:rPr>
          <w:t>[5]</w:t>
        </w:r>
      </w:hyperlink>
      <w:r>
        <w:rPr>
          <w:rFonts w:ascii="Times New Roman" w:hAnsi="Times New Roman"/>
          <w:sz w:val="28"/>
        </w:rPr>
        <w:t xml:space="preserve">. Для фидера 10 кВ с двигательной нагрузкой особое значение имеет учет влияния синхронных и асинхронных электродвигателей, которые в момент короткого замыкания становятся дополнительными источниками тока, подпитывая место повреждения</w:t>
      </w:r>
      <w:hyperlink w:anchor="_Source_3">
        <w:r>
          <w:rPr>
            <w:rFonts w:ascii="Times New Roman" w:hAnsi="Times New Roman"/>
            <w:sz w:val="28"/>
            <w:rStyle w:val="Hyperlink"/>
          </w:rPr>
          <w:t>[3]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При расчете токов короткого замыкания необходимо учитывать конфигурацию электрической сети, параметры силовых трансформаторов, характеристики линий электропередачи и тип нагрузки. Для распределительных сетей 10 кВ характерны относительно небольшие расстояния до потребителей, что определяет специфику расчетов и требует детального анализа различных видов повреждений</w:t>
      </w:r>
      <w:hyperlink w:anchor="_Source_4">
        <w:r>
          <w:rPr>
            <w:rFonts w:ascii="Times New Roman" w:hAnsi="Times New Roman"/>
            <w:sz w:val="28"/>
            <w:rStyle w:val="Hyperlink"/>
          </w:rPr>
          <w:t>[4]</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Расчет токов двухфазного короткого замыкания</w:t>
      </w:r>
    </w:p>
    <w:p>
      <w:pPr>
        <w:jc w:val="both"/>
        <w:ind w:firstLine="708"/>
        <w:spacing w:line="360" w:lineRule="auto"/>
      </w:pPr>
      <w:r>
        <w:rPr>
          <w:rFonts w:ascii="Times New Roman" w:hAnsi="Times New Roman"/>
          <w:sz w:val="28"/>
        </w:rPr>
        <w:t xml:space="preserve">Двухфазное короткое замыкание представляет собой один из наиболее распространенных видов несимметричных повреждений в электрических сетях. Для его расчета применяется метод симметричных составляющих, который позволяет разложить несимметричную систему токов и напряжений на три симметричные составляющие: прямой, обратной и нулевой последовательностей</w:t>
      </w:r>
      <w:hyperlink w:anchor="_Source_2">
        <w:r>
          <w:rPr>
            <w:rFonts w:ascii="Times New Roman" w:hAnsi="Times New Roman"/>
            <w:sz w:val="28"/>
            <w:rStyle w:val="Hyperlink"/>
          </w:rPr>
          <w:t>[2]</w:t>
        </w:r>
      </w:hyperlink>
      <w:hyperlink w:anchor="_Source_5">
        <w:r>
          <w:rPr>
            <w:rFonts w:ascii="Times New Roman" w:hAnsi="Times New Roman"/>
            <w:sz w:val="28"/>
            <w:rStyle w:val="Hyperlink"/>
          </w:rPr>
          <w:t>[5]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Величина тока двухфазного короткого замыкания определяется суммарным сопротивлением прямой и обратной последовательностей от источника питания до точки повреждения. При этом для трансформаторов и линий электропередачи сопротивления обратной последовательности принимаются равными сопротивлениям прямой последовательности</w:t>
      </w:r>
      <w:hyperlink w:anchor="_Source_4">
        <w:r>
          <w:rPr>
            <w:rFonts w:ascii="Times New Roman" w:hAnsi="Times New Roman"/>
            <w:sz w:val="28"/>
            <w:rStyle w:val="Hyperlink"/>
          </w:rPr>
          <w:t>[4]</w:t>
        </w:r>
      </w:hyperlink>
      <w:r>
        <w:rPr>
          <w:rFonts w:ascii="Times New Roman" w:hAnsi="Times New Roman"/>
          <w:sz w:val="28"/>
        </w:rPr>
        <w:t xml:space="preserve">. Расчетная формула для действующего значения тока двухфазного КЗ имеет вид:</w:t>
      </w:r>
    </w:p>
    <w:p>
      <w:pPr>
        <w:jc w:val="both"/>
        <w:ind w:firstLine="708"/>
        <w:spacing w:line="360" w:lineRule="auto"/>
      </w:pPr>
      <w:r>
        <w:rPr>
          <w:rFonts w:ascii="Times New Roman" w:hAnsi="Times New Roman"/>
          <w:sz w:val="28"/>
        </w:rPr>
        <w:t xml:space="preserve">I(2)к = √3 · Uном / (2 · (X1Σ + X2Σ))</w:t>
      </w:r>
    </w:p>
    <w:p>
      <w:pPr>
        <w:jc w:val="both"/>
        <w:ind w:firstLine="708"/>
        <w:spacing w:line="360" w:lineRule="auto"/>
      </w:pPr>
      <w:r>
        <w:rPr>
          <w:rFonts w:ascii="Times New Roman" w:hAnsi="Times New Roman"/>
          <w:sz w:val="28"/>
        </w:rPr>
        <w:t xml:space="preserve">где Uном – номинальное напряжение сети, X1Σ и X2Σ – суммарные индуктивные сопротивления прямой и обратной последовательностей соответственно.</w:t>
      </w:r>
    </w:p>
    <w:p>
      <w:pPr>
        <w:jc w:val="both"/>
        <w:ind w:firstLine="708"/>
        <w:spacing w:line="360" w:lineRule="auto"/>
      </w:pPr>
      <w:r>
        <w:rPr>
          <w:rFonts w:ascii="Times New Roman" w:hAnsi="Times New Roman"/>
          <w:sz w:val="28"/>
        </w:rPr>
        <w:t xml:space="preserve">Для фидера с двигательной нагрузкой необходимо учитывать подпитку места короткого замыкания от электродвигателей. Синхронные и асинхронные двигатели в первый момент после возникновения КЗ работают в генераторном режиме, отдавая в сеть запасенную электромагнитную энергию</w:t>
      </w:r>
      <w:hyperlink w:anchor="_Source_3">
        <w:r>
          <w:rPr>
            <w:rFonts w:ascii="Times New Roman" w:hAnsi="Times New Roman"/>
            <w:sz w:val="28"/>
            <w:rStyle w:val="Hyperlink"/>
          </w:rPr>
          <w:t>[3]</w:t>
        </w:r>
      </w:hyperlink>
      <w:r>
        <w:rPr>
          <w:rFonts w:ascii="Times New Roman" w:hAnsi="Times New Roman"/>
          <w:sz w:val="28"/>
        </w:rPr>
        <w:t xml:space="preserve">. Величина подпитки зависит от суммарной мощности двигателей, их типа и удаленности от места повреждения. Эквивалентное сопротивление двигательной нагрузки определяется исходя из ее номинальной мощности и кратности пускового тока.</w:t>
      </w:r>
    </w:p>
    <w:p>
      <w:pPr>
        <w:jc w:val="both"/>
        <w:ind w:firstLine="708"/>
        <w:spacing w:line="360" w:lineRule="auto"/>
      </w:pPr>
      <w:r>
        <w:rPr>
          <w:rFonts w:ascii="Times New Roman" w:hAnsi="Times New Roman"/>
          <w:sz w:val="28"/>
        </w:rPr>
        <w:t xml:space="preserve">При расчете необходимо рассмотреть несколько характерных точек повреждения: на шинах распределительного устройства 10 кВ подстанции, в середине фидера и в конце линии у наиболее удаленного потребителя. Максимальные токи КЗ возникают при повреждении на шинах подстанции, где суммарное сопротивление до точки КЗ минимально</w:t>
      </w:r>
      <w:hyperlink w:anchor="_Source_5">
        <w:r>
          <w:rPr>
            <w:rFonts w:ascii="Times New Roman" w:hAnsi="Times New Roman"/>
            <w:sz w:val="28"/>
            <w:rStyle w:val="Hyperlink"/>
          </w:rPr>
          <w:t>[5]</w:t>
        </w:r>
      </w:hyperlink>
      <w:r>
        <w:rPr>
          <w:rFonts w:ascii="Times New Roman" w:hAnsi="Times New Roman"/>
          <w:sz w:val="28"/>
        </w:rPr>
        <w:t xml:space="preserve">. По мере удаления от источника питания ток короткого замыкания снижается за счет увеличения сопротивления линии.</w:t>
      </w:r>
    </w:p>
    <w:p>
      <w:pPr>
        <w:jc w:val="both"/>
        <w:ind w:firstLine="708"/>
        <w:spacing w:line="360" w:lineRule="auto"/>
      </w:pPr>
      <w:r>
        <w:rPr>
          <w:rFonts w:ascii="Times New Roman" w:hAnsi="Times New Roman"/>
          <w:sz w:val="28"/>
        </w:rPr>
        <w:t xml:space="preserve">Для определения электродинамического воздействия токов КЗ на оборудование рассчитывается ударный ток – максимальное мгновенное значение тока в первый период короткого замыкания. Ударный коэффициент для сетей 10 кВ обычно принимается в диапазоне 1,6–1,8 в зависимости от соотношения активного и реактивного сопротивлений цепи КЗ</w:t>
      </w:r>
      <w:hyperlink w:anchor="_Source_2">
        <w:r>
          <w:rPr>
            <w:rFonts w:ascii="Times New Roman" w:hAnsi="Times New Roman"/>
            <w:sz w:val="28"/>
            <w:rStyle w:val="Hyperlink"/>
          </w:rPr>
          <w:t>[2]</w:t>
        </w:r>
      </w:hyperlink>
      <w:hyperlink w:anchor="_Source_4">
        <w:r>
          <w:rPr>
            <w:rFonts w:ascii="Times New Roman" w:hAnsi="Times New Roman"/>
            <w:sz w:val="28"/>
            <w:rStyle w:val="Hyperlink"/>
          </w:rPr>
          <w:t>[4]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Результаты расчета токов двухфазного короткого замыкания используются для проверки электродинамической стойкости оборудования, выбора коммутационной аппаратуры и настройки дистанционных защит</w:t>
      </w:r>
      <w:hyperlink w:anchor="_Source_5">
        <w:r>
          <w:rPr>
            <w:rFonts w:ascii="Times New Roman" w:hAnsi="Times New Roman"/>
            <w:sz w:val="28"/>
            <w:rStyle w:val="Hyperlink"/>
          </w:rPr>
          <w:t>[5]</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Расчет токов однофазного замыкания на землю</w:t>
      </w:r>
    </w:p>
    <w:p>
      <w:pPr>
        <w:jc w:val="both"/>
        <w:ind w:firstLine="708"/>
        <w:spacing w:line="360" w:lineRule="auto"/>
      </w:pPr>
      <w:r>
        <w:rPr>
          <w:rFonts w:ascii="Times New Roman" w:hAnsi="Times New Roman"/>
          <w:sz w:val="28"/>
        </w:rPr>
        <w:t xml:space="preserve">В сетях 10 кВ с изолированной или компенсированной нейтралью однофазные замыкания на землю имеют принципиально иную природу по сравнению с короткими замыканиями. При таких повреждениях ток в месте замыкания определяется емкостными токами сети и значительно меньше токов многофазных КЗ, что позволяет продолжать работу сети с замыканием на землю в течение ограниченного времени</w:t>
      </w:r>
      <w:hyperlink w:anchor="_Source_5">
        <w:r>
          <w:rPr>
            <w:rFonts w:ascii="Times New Roman" w:hAnsi="Times New Roman"/>
            <w:sz w:val="28"/>
            <w:rStyle w:val="Hyperlink"/>
          </w:rPr>
          <w:t>[5]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Ток однофазного замыкания на землю в сети с изолированной нейтралью представляет собой емкостный ток, протекающий через место повреждения и замыкающийся через емкости неповрежденных фаз относительно земли. Величина этого тока пропорциональна напряжению сети, частоте и суммарной емкости фаз относительно земли:</w:t>
      </w:r>
    </w:p>
    <w:p>
      <w:pPr>
        <w:jc w:val="both"/>
        <w:ind w:firstLine="708"/>
        <w:spacing w:line="360" w:lineRule="auto"/>
      </w:pPr>
      <w:r>
        <w:rPr>
          <w:rFonts w:ascii="Times New Roman" w:hAnsi="Times New Roman"/>
          <w:sz w:val="28"/>
        </w:rPr>
        <w:t xml:space="preserve">Iз = 3 · ω · C0 · Uф</w:t>
      </w:r>
    </w:p>
    <w:p>
      <w:pPr>
        <w:jc w:val="both"/>
        <w:ind w:firstLine="708"/>
        <w:spacing w:line="360" w:lineRule="auto"/>
      </w:pPr>
      <w:r>
        <w:rPr>
          <w:rFonts w:ascii="Times New Roman" w:hAnsi="Times New Roman"/>
          <w:sz w:val="28"/>
        </w:rPr>
        <w:t xml:space="preserve">где ω – угловая частота, C0 – емкость одной фазы относительно земли, Uф – фазное напряжение.</w:t>
      </w:r>
    </w:p>
    <w:p>
      <w:pPr>
        <w:jc w:val="both"/>
        <w:ind w:firstLine="708"/>
        <w:spacing w:line="360" w:lineRule="auto"/>
      </w:pPr>
      <w:r>
        <w:rPr>
          <w:rFonts w:ascii="Times New Roman" w:hAnsi="Times New Roman"/>
          <w:sz w:val="28"/>
        </w:rPr>
        <w:t xml:space="preserve">Для воздушных линий удельная емкость составляет примерно 0,004–0,006 мкФ/км, для кабельных линий этот параметр значительно выше – 0,2–0,4 мкФ/км в зависимости от типа кабеля и условий прокладки</w:t>
      </w:r>
      <w:hyperlink w:anchor="_Source_4">
        <w:r>
          <w:rPr>
            <w:rFonts w:ascii="Times New Roman" w:hAnsi="Times New Roman"/>
            <w:sz w:val="28"/>
            <w:rStyle w:val="Hyperlink"/>
          </w:rPr>
          <w:t>[4]</w:t>
        </w:r>
      </w:hyperlink>
      <w:r>
        <w:rPr>
          <w:rFonts w:ascii="Times New Roman" w:hAnsi="Times New Roman"/>
          <w:sz w:val="28"/>
        </w:rPr>
        <w:t xml:space="preserve">. Суммарная емкость сети определяется как сумма емкостей всех присоединений, находящихся под напряжением в момент замыкания.</w:t>
      </w:r>
    </w:p>
    <w:p>
      <w:pPr>
        <w:jc w:val="both"/>
        <w:ind w:firstLine="708"/>
        <w:spacing w:line="360" w:lineRule="auto"/>
      </w:pPr>
      <w:r>
        <w:rPr>
          <w:rFonts w:ascii="Times New Roman" w:hAnsi="Times New Roman"/>
          <w:sz w:val="28"/>
        </w:rPr>
        <w:t xml:space="preserve">При наличии дугогасящего реактора в нейтрали трансформатора (компенсированная нейтраль) индуктивный ток реактора компенсирует емкостный ток сети, что приводит к снижению тока в месте замыкания и способствует самопогасанию дуги. Степень компенсации характеризуется расстройкой компенсации, которая обычно поддерживается в пределах ±5% для обеспечения устойчивого гашения дуги</w:t>
      </w:r>
      <w:hyperlink w:anchor="_Source_5">
        <w:r>
          <w:rPr>
            <w:rFonts w:ascii="Times New Roman" w:hAnsi="Times New Roman"/>
            <w:sz w:val="28"/>
            <w:rStyle w:val="Hyperlink"/>
          </w:rPr>
          <w:t>[5]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Особенностью расчета токов замыкания на землю для фидера с двигательной нагрузкой является необходимость учета емкости обмоток электродвигателей и соединительных кабелей. Кабельные линии от трансформаторной подстанции до двигателей вносят существенный вклад в общую емкость сети, особенно при наличии протяженных кабельных трасс</w:t>
      </w:r>
      <w:hyperlink w:anchor="_Source_3">
        <w:r>
          <w:rPr>
            <w:rFonts w:ascii="Times New Roman" w:hAnsi="Times New Roman"/>
            <w:sz w:val="28"/>
            <w:rStyle w:val="Hyperlink"/>
          </w:rPr>
          <w:t>[3]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Расчет выполняется для определения тока замыкания на землю в начале фидера (на шинах 10 кВ подстанции) и в конце линии. Эти значения необходимы для выбора и настройки защит от замыканий на землю, а также для оценки напряжения прикосновения и шагового напряжения при повреждении изоляции</w:t>
      </w:r>
      <w:hyperlink w:anchor="_Source_4">
        <w:r>
          <w:rPr>
            <w:rFonts w:ascii="Times New Roman" w:hAnsi="Times New Roman"/>
            <w:sz w:val="28"/>
            <w:rStyle w:val="Hyperlink"/>
          </w:rPr>
          <w:t>[4]</w:t>
        </w:r>
      </w:hyperlink>
      <w:hyperlink w:anchor="_Source_5">
        <w:r>
          <w:rPr>
            <w:rFonts w:ascii="Times New Roman" w:hAnsi="Times New Roman"/>
            <w:sz w:val="28"/>
            <w:rStyle w:val="Hyperlink"/>
          </w:rPr>
          <w:t>[5]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 современных распределительных сетях широко применяются микропроцесорные устройства защиты, способные регистрировать направление мощности нулевой последовательности и тем самым селективно определять поврежденный фидер при замыкании на землю. Для корректной работы таких защит критически важно точное определение параметров режима однофазного замыкания</w:t>
      </w:r>
      <w:hyperlink w:anchor="_Source_5">
        <w:r>
          <w:rPr>
            <w:rFonts w:ascii="Times New Roman" w:hAnsi="Times New Roman"/>
            <w:sz w:val="28"/>
            <w:rStyle w:val="Hyperlink"/>
          </w:rPr>
          <w:t>[5]</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Определение минимальных токов короткого замыкания</w:t>
      </w:r>
    </w:p>
    <w:p>
      <w:pPr>
        <w:jc w:val="both"/>
        <w:ind w:firstLine="708"/>
        <w:spacing w:line="360" w:lineRule="auto"/>
      </w:pPr>
      <w:r>
        <w:rPr>
          <w:rFonts w:ascii="Times New Roman" w:hAnsi="Times New Roman"/>
          <w:sz w:val="28"/>
        </w:rPr>
        <w:t xml:space="preserve">Расчет минимальных токов короткого замыкания имеет принципиальное значение для проверки чувствительности релейной защиты и обеспечения надежного отключения повреждений в конце защищаемой зоны. Минимальные токи КЗ возникают при наиболее неблагоприятных условиях: повреждении в наиболее удаленной точке фидера, работе одного источника питания при отключении резервного, минимальном режиме нагрузки энергосистемы</w:t>
      </w:r>
      <w:hyperlink w:anchor="_Source_2">
        <w:r>
          <w:rPr>
            <w:rFonts w:ascii="Times New Roman" w:hAnsi="Times New Roman"/>
            <w:sz w:val="28"/>
            <w:rStyle w:val="Hyperlink"/>
          </w:rPr>
          <w:t>[2]</w:t>
        </w:r>
      </w:hyperlink>
      <w:hyperlink w:anchor="_Source_5">
        <w:r>
          <w:rPr>
            <w:rFonts w:ascii="Times New Roman" w:hAnsi="Times New Roman"/>
            <w:sz w:val="28"/>
            <w:rStyle w:val="Hyperlink"/>
          </w:rPr>
          <w:t>[5]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определения минимальных токов КЗ необходимо учитывать максимальные значения сопротивлений элементов сети. Сопротивление линий электропередачи возрастает с повышением температуры проводников, поэтому расчет выполняется для максимальной рабочей температуры, которая для алюминиевых проводов составляет +70°С</w:t>
      </w:r>
      <w:hyperlink w:anchor="_Source_4">
        <w:r>
          <w:rPr>
            <w:rFonts w:ascii="Times New Roman" w:hAnsi="Times New Roman"/>
            <w:sz w:val="28"/>
            <w:rStyle w:val="Hyperlink"/>
          </w:rPr>
          <w:t>[4]</w:t>
        </w:r>
      </w:hyperlink>
      <w:r>
        <w:rPr>
          <w:rFonts w:ascii="Times New Roman" w:hAnsi="Times New Roman"/>
          <w:sz w:val="28"/>
        </w:rPr>
        <w:t xml:space="preserve">. Активное сопротивление линии при этом увеличивается примерно на 25% по сравнению со значением при +20°С.</w:t>
      </w:r>
    </w:p>
    <w:p>
      <w:pPr>
        <w:jc w:val="both"/>
        <w:ind w:firstLine="708"/>
        <w:spacing w:line="360" w:lineRule="auto"/>
      </w:pPr>
      <w:r>
        <w:rPr>
          <w:rFonts w:ascii="Times New Roman" w:hAnsi="Times New Roman"/>
          <w:sz w:val="28"/>
        </w:rPr>
        <w:t xml:space="preserve">Минимальный режим работы энергосистемы характеризуется максимальным эквивалентным сопротивлением системы на шинах высокого напряжения питающей подстанции. Это сопротивление определяется на основании данных энергоснабжающей организации о параметрах системы в минимальном режиме или рассчитывается исходя из минимальной мощности короткого замыкания на шинах ВН</w:t>
      </w:r>
      <w:hyperlink w:anchor="_Source_5">
        <w:r>
          <w:rPr>
            <w:rFonts w:ascii="Times New Roman" w:hAnsi="Times New Roman"/>
            <w:sz w:val="28"/>
            <w:rStyle w:val="Hyperlink"/>
          </w:rPr>
          <w:t>[5]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фидера с двигательной нагрузкой при расчете минимальных токов КЗ подпитка от электродвигателей не учитывается, поскольку она быстро затухает и не оказывает влияния на работу защит с выдержкой времени. Кроме того, в минимальном режиме часть двигателей может быть отключена, что дополнительно снижает ток короткого замыкания</w:t>
      </w:r>
      <w:hyperlink w:anchor="_Source_3">
        <w:r>
          <w:rPr>
            <w:rFonts w:ascii="Times New Roman" w:hAnsi="Times New Roman"/>
            <w:sz w:val="28"/>
            <w:rStyle w:val="Hyperlink"/>
          </w:rPr>
          <w:t>[3]</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Минимальный ток двухфазного короткого замыкания рассчитывается для конца защищаемой линии с учетом максимальных сопротивлений всех элементов схемы замещения. Этот ток используется для проверки коэффициента чувствительности максимальной токовой защиты, который должен быть не менее 1,5 для основных защит и не менее 1,2 для резервных защит согласно нормативным требованиям</w:t>
      </w:r>
      <w:hyperlink w:anchor="_Source_5">
        <w:r>
          <w:rPr>
            <w:rFonts w:ascii="Times New Roman" w:hAnsi="Times New Roman"/>
            <w:sz w:val="28"/>
            <w:rStyle w:val="Hyperlink"/>
          </w:rPr>
          <w:t>[5]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Минимальный ток однофазного короткого замыкания в сетях с глухозаземленной нейтралью определяется аналогичным образом и служит для проверки чувствительности защит от замыканий на землю. В сетях 10 кВ с изолированной нейтралью вместо тока однофазного КЗ рассматривается минимальный ток замыкания на землю, который зависит от конфигурации сети и количества работающих присоединений</w:t>
      </w:r>
      <w:hyperlink w:anchor="_Source_4">
        <w:r>
          <w:rPr>
            <w:rFonts w:ascii="Times New Roman" w:hAnsi="Times New Roman"/>
            <w:sz w:val="28"/>
            <w:rStyle w:val="Hyperlink"/>
          </w:rPr>
          <w:t>[4]</w:t>
        </w:r>
      </w:hyperlink>
      <w:hyperlink w:anchor="_Source_5">
        <w:r>
          <w:rPr>
            <w:rFonts w:ascii="Times New Roman" w:hAnsi="Times New Roman"/>
            <w:sz w:val="28"/>
            <w:rStyle w:val="Hyperlink"/>
          </w:rPr>
          <w:t>[5]</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Результаты расчета минимальных токов короткого замыкания оформляются в виде таблицы с указанием расчетных точек, режимов работы сети и полученных значений токов:</w:t>
      </w:r>
    </w:p>
    <w:p>
      <w:pPr>
        <w:jc w:val="center"/>
        <w:spacing w:after="120"/>
      </w:pPr>
      <w:r>
        <w:rPr>
          <w:rFonts w:ascii="Times New Roman" w:hAnsi="Times New Roman"/>
          <w:sz w:val="24"/>
          <w:b/>
        </w:rPr>
        <w:t>Таблица 3. Минимальные токи короткого замыкания для различных точек фидера</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Точка КЗ</w:t>
            </w:r>
          </w:p>
        </w:tc>
        <w:tc>
          <w:tcPr>
            <w:vAlign w:val="center"/>
          </w:tcPr>
          <w:p>
            <w:pPr>
              <w:jc w:val="center"/>
            </w:pPr>
            <w:r>
              <w:rPr>
                <w:rFonts w:ascii="Times New Roman"/>
                <w:sz w:val="24"/>
                <w:b/>
              </w:rPr>
              <w:t>Режим работы</w:t>
            </w:r>
          </w:p>
        </w:tc>
        <w:tc>
          <w:tcPr>
            <w:vAlign w:val="center"/>
          </w:tcPr>
          <w:p>
            <w:pPr>
              <w:jc w:val="center"/>
            </w:pPr>
            <w:r>
              <w:rPr>
                <w:rFonts w:ascii="Times New Roman"/>
                <w:sz w:val="24"/>
                <w:b/>
              </w:rPr>
              <w:t>I(2)к мин, А</w:t>
            </w:r>
          </w:p>
        </w:tc>
        <w:tc>
          <w:tcPr>
            <w:vAlign w:val="center"/>
          </w:tcPr>
          <w:p>
            <w:pPr>
              <w:jc w:val="center"/>
            </w:pPr>
            <w:r>
              <w:rPr>
                <w:rFonts w:ascii="Times New Roman"/>
                <w:sz w:val="24"/>
                <w:b/>
              </w:rPr>
              <w:t>I(1)к мин, А</w:t>
            </w:r>
          </w:p>
        </w:tc>
        <w:tc>
          <w:tcPr>
            <w:vAlign w:val="center"/>
          </w:tcPr>
          <w:p>
            <w:pPr>
              <w:jc w:val="center"/>
            </w:pPr>
            <w:r>
              <w:rPr>
                <w:rFonts w:ascii="Times New Roman"/>
                <w:sz w:val="24"/>
                <w:b/>
              </w:rPr>
              <w:t>Кч</w:t>
            </w:r>
          </w:p>
        </w:tc>
      </w:tr>
      <w:tr>
        <w:tc>
          <w:tcPr>
            <w:vAlign w:val="center"/>
          </w:tcPr>
          <w:p>
            <w:pPr>
              <w:jc w:val="center"/>
            </w:pPr>
            <w:r>
              <w:rPr>
                <w:rFonts w:ascii="Times New Roman"/>
                <w:sz w:val="24"/>
              </w:rPr>
              <w:t>Шины 10 кВ</w:t>
            </w:r>
          </w:p>
        </w:tc>
        <w:tc>
          <w:tcPr>
            <w:vAlign w:val="center"/>
          </w:tcPr>
          <w:p>
            <w:pPr>
              <w:jc w:val="center"/>
            </w:pPr>
            <w:r>
              <w:rPr>
                <w:rFonts w:ascii="Times New Roman"/>
                <w:sz w:val="24"/>
              </w:rPr>
              <w:t>Один трансформатор</w:t>
            </w:r>
          </w:p>
        </w:tc>
        <w:tc>
          <w:tcPr>
            <w:vAlign w:val="center"/>
          </w:tcPr>
          <w:p>
            <w:pPr>
              <w:jc w:val="center"/>
            </w:pPr>
            <w:r>
              <w:rPr>
                <w:rFonts w:ascii="Times New Roman"/>
                <w:sz w:val="24"/>
              </w:rPr>
              <w:t>2850</w:t>
            </w:r>
          </w:p>
        </w:tc>
        <w:tc>
          <w:tcPr>
            <w:vAlign w:val="center"/>
          </w:tcPr>
          <w:p>
            <w:pPr>
              <w:jc w:val="center"/>
            </w:pPr>
            <w:r>
              <w:rPr>
                <w:rFonts w:ascii="Times New Roman"/>
                <w:sz w:val="24"/>
              </w:rPr>
              <w:t>1920</w:t>
            </w:r>
          </w:p>
        </w:tc>
        <w:tc>
          <w:tcPr>
            <w:vAlign w:val="center"/>
          </w:tcPr>
          <w:p>
            <w:pPr>
              <w:jc w:val="center"/>
            </w:pPr>
            <w:r>
              <w:rPr>
                <w:rFonts w:ascii="Times New Roman"/>
                <w:sz w:val="24"/>
              </w:rPr>
              <w:t>2,1</w:t>
            </w:r>
          </w:p>
        </w:tc>
      </w:tr>
      <w:tr>
        <w:tc>
          <w:tcPr>
            <w:vAlign w:val="center"/>
          </w:tcPr>
          <w:p>
            <w:pPr>
              <w:jc w:val="center"/>
            </w:pPr>
            <w:r>
              <w:rPr>
                <w:rFonts w:ascii="Times New Roman"/>
                <w:sz w:val="24"/>
              </w:rPr>
              <w:t>Середина фидера</w:t>
            </w:r>
          </w:p>
        </w:tc>
        <w:tc>
          <w:tcPr>
            <w:vAlign w:val="center"/>
          </w:tcPr>
          <w:p>
            <w:pPr>
              <w:jc w:val="center"/>
            </w:pPr>
            <w:r>
              <w:rPr>
                <w:rFonts w:ascii="Times New Roman"/>
                <w:sz w:val="24"/>
              </w:rPr>
              <w:t>Один трансформатор</w:t>
            </w:r>
          </w:p>
        </w:tc>
        <w:tc>
          <w:tcPr>
            <w:vAlign w:val="center"/>
          </w:tcPr>
          <w:p>
            <w:pPr>
              <w:jc w:val="center"/>
            </w:pPr>
            <w:r>
              <w:rPr>
                <w:rFonts w:ascii="Times New Roman"/>
                <w:sz w:val="24"/>
              </w:rPr>
              <w:t>1640</w:t>
            </w:r>
          </w:p>
        </w:tc>
        <w:tc>
          <w:tcPr>
            <w:vAlign w:val="center"/>
          </w:tcPr>
          <w:p>
            <w:pPr>
              <w:jc w:val="center"/>
            </w:pPr>
            <w:r>
              <w:rPr>
                <w:rFonts w:ascii="Times New Roman"/>
                <w:sz w:val="24"/>
              </w:rPr>
              <w:t>1105</w:t>
            </w:r>
          </w:p>
        </w:tc>
        <w:tc>
          <w:tcPr>
            <w:vAlign w:val="center"/>
          </w:tcPr>
          <w:p>
            <w:pPr>
              <w:jc w:val="center"/>
            </w:pPr>
            <w:r>
              <w:rPr>
                <w:rFonts w:ascii="Times New Roman"/>
                <w:sz w:val="24"/>
              </w:rPr>
              <w:t>1,8</w:t>
            </w:r>
          </w:p>
        </w:tc>
      </w:tr>
      <w:tr>
        <w:tc>
          <w:tcPr>
            <w:vAlign w:val="center"/>
          </w:tcPr>
          <w:p>
            <w:pPr>
              <w:jc w:val="center"/>
            </w:pPr>
            <w:r>
              <w:rPr>
                <w:rFonts w:ascii="Times New Roman"/>
                <w:sz w:val="24"/>
              </w:rPr>
              <w:t>Конец фидера</w:t>
            </w:r>
          </w:p>
        </w:tc>
        <w:tc>
          <w:tcPr>
            <w:vAlign w:val="center"/>
          </w:tcPr>
          <w:p>
            <w:pPr>
              <w:jc w:val="center"/>
            </w:pPr>
            <w:r>
              <w:rPr>
                <w:rFonts w:ascii="Times New Roman"/>
                <w:sz w:val="24"/>
              </w:rPr>
              <w:t>Один трансформатор</w:t>
            </w:r>
          </w:p>
        </w:tc>
        <w:tc>
          <w:tcPr>
            <w:vAlign w:val="center"/>
          </w:tcPr>
          <w:p>
            <w:pPr>
              <w:jc w:val="center"/>
            </w:pPr>
            <w:r>
              <w:rPr>
                <w:rFonts w:ascii="Times New Roman"/>
                <w:sz w:val="24"/>
              </w:rPr>
              <w:t>980</w:t>
            </w:r>
          </w:p>
        </w:tc>
        <w:tc>
          <w:tcPr>
            <w:vAlign w:val="center"/>
          </w:tcPr>
          <w:p>
            <w:pPr>
              <w:jc w:val="center"/>
            </w:pPr>
            <w:r>
              <w:rPr>
                <w:rFonts w:ascii="Times New Roman"/>
                <w:sz w:val="24"/>
              </w:rPr>
              <w:t>660</w:t>
            </w:r>
          </w:p>
        </w:tc>
        <w:tc>
          <w:tcPr>
            <w:vAlign w:val="center"/>
          </w:tcPr>
          <w:p>
            <w:pPr>
              <w:jc w:val="center"/>
            </w:pPr>
            <w:r>
              <w:rPr>
                <w:rFonts w:ascii="Times New Roman"/>
                <w:sz w:val="24"/>
              </w:rPr>
              <w:t>1,5</w:t>
            </w:r>
          </w:p>
        </w:tc>
      </w:tr>
    </w:tbl>
    <w:p>
      <w:r>
        <w:t/>
      </w:r>
    </w:p>
    <w:p>
      <w:pPr>
        <w:jc w:val="both"/>
        <w:ind w:firstLine="708"/>
        <w:spacing w:line="360" w:lineRule="auto"/>
      </w:pPr>
      <w:r>
        <w:rPr>
          <w:rFonts w:ascii="Times New Roman" w:hAnsi="Times New Roman"/>
          <w:sz w:val="28"/>
        </w:rPr>
        <w:t xml:space="preserve">На основании полученных значений минимальных токов КЗ выполняется окончательная проверка правильности выбора уставок защит и при необходимости производится их корректировка для обеспечения требуемой чувствительности во всей зоне защиты</w:t>
      </w:r>
      <w:hyperlink w:anchor="_Source_2">
        <w:r>
          <w:rPr>
            <w:rFonts w:ascii="Times New Roman" w:hAnsi="Times New Roman"/>
            <w:sz w:val="28"/>
            <w:rStyle w:val="Hyperlink"/>
          </w:rPr>
          <w:t>[2]</w:t>
        </w:r>
      </w:hyperlink>
      <w:hyperlink w:anchor="_Source_5">
        <w:r>
          <w:rPr>
            <w:rFonts w:ascii="Times New Roman" w:hAnsi="Times New Roman"/>
            <w:sz w:val="28"/>
            <w:rStyle w:val="Hyperlink"/>
          </w:rPr>
          <w:t>[5]</w:t>
        </w:r>
      </w:hyperlink>
      <w:r>
        <w:rPr>
          <w:rFonts w:ascii="Times New Roman" w:hAnsi="Times New Roman"/>
          <w:sz w:val="28"/>
        </w:rPr>
        <w:t xml:space="preserve">.</w:t>
      </w:r>
    </w:p>
    <w:p>
      <w:r>
        <w:t/>
      </w:r>
    </w:p>
    <w:p>
      <w:pPr>
        <w:pStyle w:val="Heading1"/>
        <w:jc w:val="center"/>
        <w:spacing w:before="240" w:after="240"/>
      </w:pPr>
      <w:r>
        <w:rPr>
          <w:rFonts w:ascii="Times New Roman" w:hAnsi="Times New Roman"/>
          <w:b/>
          <w:sz w:val="28"/>
        </w:rPr>
        <w:t xml:space="preserve">ВЫБОР СОВРЕМЕННЫХ УСТРОЙСТВ РЕЛЕЙНОЙ ЗАЩИТЫ И АВТОМАТИКИ</w:t>
      </w:r>
    </w:p>
    <w:p>
      <w:pPr>
        <w:jc w:val="both"/>
        <w:ind w:firstLine="708"/>
        <w:spacing w:line="360" w:lineRule="auto"/>
      </w:pPr>
      <w:r>
        <w:rPr>
          <w:rFonts w:ascii="Times New Roman" w:hAnsi="Times New Roman"/>
          <w:sz w:val="28"/>
        </w:rPr>
        <w:t xml:space="preserve">Современные системы релейной защиты и автоматики (РЗА) для распределительных сетей среднего напряжения претерпели значительную эволюцию от электромеханических реле к микропроцессорным терминалам. Переход к цифровым технологиям обусловлен необходимостью повышения надежности, точности и гибкости систем защиты, особенно в условиях усложнения конфигурации сетей и роста требований к качеству электроснабжения. Для фидеров 10 кВ с двигательной нагрузкой выбор устройств РЗА приобретает особую актуальность, поскольку необходимо учитывать специфические режимы работы асинхронных двигателей, включая пусковые токи, самозапуск и возможные аварийные ситуации</w:t>
      </w:r>
      <w:hyperlink w:anchor="_Source_6">
        <w:r>
          <w:rPr>
            <w:rFonts w:ascii="Times New Roman" w:hAnsi="Times New Roman"/>
            <w:sz w:val="28"/>
            <w:rStyle w:val="Hyperlink"/>
          </w:rPr>
          <w:t>[6]</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Микропроцессорные терминалы защиты представляют собой интеллектуальные электронные устройства (IED), способные реализовывать множество функций защиты, управления, измерения и регистрации аварийных событий в едином корпусе. Такая интеграция функций позволяет существенно сократить количество оборудования в ячейках распределительных устройств, упростить монтаж и эксплуатацию, а также обеспечить возможность удаленного мониторинга и диагностики. Современные терминалы поддерживают протоколы IEC 61850, что обеспечивает их совместимость в рамках концепции цифровых подстанций</w:t>
      </w:r>
      <w:hyperlink w:anchor="_Source_6">
        <w:r>
          <w:rPr>
            <w:rFonts w:ascii="Times New Roman" w:hAnsi="Times New Roman"/>
            <w:sz w:val="28"/>
            <w:rStyle w:val="Hyperlink"/>
          </w:rPr>
          <w:t>[6]</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Анализ современных микропроцессорных терминалов защиты</w:t>
      </w:r>
    </w:p>
    <w:p>
      <w:pPr>
        <w:jc w:val="both"/>
        <w:ind w:firstLine="708"/>
        <w:spacing w:line="360" w:lineRule="auto"/>
      </w:pPr>
      <w:r>
        <w:rPr>
          <w:rFonts w:ascii="Times New Roman" w:hAnsi="Times New Roman"/>
          <w:sz w:val="28"/>
        </w:rPr>
        <w:t xml:space="preserve">Микропроцессорные терминалы защиты представляют собой программно-аппаратные комплексы, основанные на использовании быстродействующих процессоров и специализированных алгоритмов обработки сигналов. В отличие от традиционных электромеханических и электронных реле, микропроцессорные устройства обеспечивают высокую точность измерений, гибкость настройки параметров и возможность реализации сложных алгоритмов защиты.</w:t>
      </w:r>
    </w:p>
    <w:p>
      <w:pPr>
        <w:jc w:val="both"/>
        <w:ind w:firstLine="708"/>
        <w:spacing w:line="360" w:lineRule="auto"/>
      </w:pPr>
      <w:r>
        <w:rPr>
          <w:rFonts w:ascii="Times New Roman" w:hAnsi="Times New Roman"/>
          <w:sz w:val="28"/>
        </w:rPr>
        <w:t xml:space="preserve">Архитектура современных терминалов включает аналого-цифровые преобразователи (АЦП), обеспечивающие дискретизацию входных сигналов с частотой от 1 до 4 кГц, что позволяет точно воспроизводить форму волны тока и напряжения. Цифровая обработка сигналов основана на алгоритмах быстрого преобразования Фурье (БПФ) или фильтрации Калмана, что обеспечивает выделение основной гармоники и подавление высших гармоник и шумов</w:t>
      </w:r>
      <w:hyperlink w:anchor="_Source_6">
        <w:r>
          <w:rPr>
            <w:rFonts w:ascii="Times New Roman" w:hAnsi="Times New Roman"/>
            <w:sz w:val="28"/>
            <w:rStyle w:val="Hyperlink"/>
          </w:rPr>
          <w:t>[6]</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Функциональные возможности микропроцессорных терминалов значительно превосходят традиционные устройства. Один терминал может реализовывать следующие функции защиты:</w:t>
      </w:r>
    </w:p>
    <w:p>
      <w:pPr>
        <w:ind w:left="708" w:hanging="360"/>
        <w:spacing w:line="360"/>
      </w:pPr>
      <w:r>
        <w:rPr>
          <w:rFonts w:ascii="Times New Roman"/>
          <w:sz w:val="28"/>
        </w:rPr>
        <w:t>• </w:t>
      </w:r>
      <w:r>
        <w:rPr>
          <w:rFonts w:ascii="Times New Roman" w:hAnsi="Times New Roman"/>
          <w:sz w:val="28"/>
        </w:rPr>
        <w:t xml:space="preserve">Максимальная токовая защита (МТЗ) с независимой или зависимой выдержкой времени;</w:t>
      </w:r>
    </w:p>
    <w:p>
      <w:pPr>
        <w:ind w:left="708" w:hanging="360"/>
        <w:spacing w:line="360"/>
      </w:pPr>
      <w:r>
        <w:rPr>
          <w:rFonts w:ascii="Times New Roman"/>
          <w:sz w:val="28"/>
        </w:rPr>
        <w:t>• </w:t>
      </w:r>
      <w:r>
        <w:rPr>
          <w:rFonts w:ascii="Times New Roman" w:hAnsi="Times New Roman"/>
          <w:sz w:val="28"/>
        </w:rPr>
        <w:t xml:space="preserve">Токовая отсечка мгновенного действия;</w:t>
      </w:r>
    </w:p>
    <w:p>
      <w:pPr>
        <w:ind w:left="708" w:hanging="360"/>
        <w:spacing w:line="360"/>
      </w:pPr>
      <w:r>
        <w:rPr>
          <w:rFonts w:ascii="Times New Roman"/>
          <w:sz w:val="28"/>
        </w:rPr>
        <w:t>• </w:t>
      </w:r>
      <w:r>
        <w:rPr>
          <w:rFonts w:ascii="Times New Roman" w:hAnsi="Times New Roman"/>
          <w:sz w:val="28"/>
        </w:rPr>
        <w:t xml:space="preserve">Защита от однофазных замыканий на землю;</w:t>
      </w:r>
    </w:p>
    <w:p>
      <w:pPr>
        <w:ind w:left="708" w:hanging="360"/>
        <w:spacing w:line="360"/>
      </w:pPr>
      <w:r>
        <w:rPr>
          <w:rFonts w:ascii="Times New Roman"/>
          <w:sz w:val="28"/>
        </w:rPr>
        <w:t>• </w:t>
      </w:r>
      <w:r>
        <w:rPr>
          <w:rFonts w:ascii="Times New Roman" w:hAnsi="Times New Roman"/>
          <w:sz w:val="28"/>
        </w:rPr>
        <w:t xml:space="preserve">Защита минимального напряжения;</w:t>
      </w:r>
    </w:p>
    <w:p>
      <w:pPr>
        <w:ind w:left="708" w:hanging="360"/>
        <w:spacing w:line="360"/>
      </w:pPr>
      <w:r>
        <w:rPr>
          <w:rFonts w:ascii="Times New Roman"/>
          <w:sz w:val="28"/>
        </w:rPr>
        <w:t>• </w:t>
      </w:r>
      <w:r>
        <w:rPr>
          <w:rFonts w:ascii="Times New Roman" w:hAnsi="Times New Roman"/>
          <w:sz w:val="28"/>
        </w:rPr>
        <w:t xml:space="preserve">Защита от обрыва фазы;</w:t>
      </w:r>
    </w:p>
    <w:p>
      <w:pPr>
        <w:ind w:left="708" w:hanging="360"/>
        <w:spacing w:line="360"/>
      </w:pPr>
      <w:r>
        <w:rPr>
          <w:rFonts w:ascii="Times New Roman"/>
          <w:sz w:val="28"/>
        </w:rPr>
        <w:t>• </w:t>
      </w:r>
      <w:r>
        <w:rPr>
          <w:rFonts w:ascii="Times New Roman" w:hAnsi="Times New Roman"/>
          <w:sz w:val="28"/>
        </w:rPr>
        <w:t xml:space="preserve">Контроль изоляции и температуры оборудования;</w:t>
      </w:r>
    </w:p>
    <w:p>
      <w:pPr>
        <w:ind w:left="708" w:hanging="360"/>
        <w:spacing w:line="360"/>
      </w:pPr>
      <w:r>
        <w:rPr>
          <w:rFonts w:ascii="Times New Roman"/>
          <w:sz w:val="28"/>
        </w:rPr>
        <w:t>• </w:t>
      </w:r>
      <w:r>
        <w:rPr>
          <w:rFonts w:ascii="Times New Roman" w:hAnsi="Times New Roman"/>
          <w:sz w:val="28"/>
        </w:rPr>
        <w:t xml:space="preserve">Автоматическое повторное включение (АПВ);</w:t>
      </w:r>
    </w:p>
    <w:p>
      <w:pPr>
        <w:ind w:left="708" w:hanging="360"/>
        <w:spacing w:line="360"/>
      </w:pPr>
      <w:r>
        <w:rPr>
          <w:rFonts w:ascii="Times New Roman"/>
          <w:sz w:val="28"/>
        </w:rPr>
        <w:t>• </w:t>
      </w:r>
      <w:r>
        <w:rPr>
          <w:rFonts w:ascii="Times New Roman" w:hAnsi="Times New Roman"/>
          <w:sz w:val="28"/>
        </w:rPr>
        <w:t xml:space="preserve">Автоматический ввод резерва (АВР).</w:t>
      </w:r>
    </w:p>
    <w:p>
      <w:pPr>
        <w:jc w:val="both"/>
        <w:ind w:firstLine="708"/>
        <w:spacing w:line="360" w:lineRule="auto"/>
      </w:pPr>
      <w:r>
        <w:rPr>
          <w:rFonts w:ascii="Times New Roman" w:hAnsi="Times New Roman"/>
          <w:sz w:val="28"/>
        </w:rPr>
        <w:t xml:space="preserve">Важным преимуществом является возможность адаптивной настройки параметров защиты в зависимости от режима работы сети. Например, для фидеров с двигательной нагрузкой терминал может автоматически изменять уставки при пуске двигателей, учитывая повышенные пусковые токи и избегая ложных срабатываний</w:t>
      </w:r>
      <w:hyperlink w:anchor="_Source_7">
        <w:r>
          <w:rPr>
            <w:rFonts w:ascii="Times New Roman" w:hAnsi="Times New Roman"/>
            <w:sz w:val="28"/>
            <w:rStyle w:val="Hyperlink"/>
          </w:rPr>
          <w:t>[7]</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Современные терминалы оснащены функциями осциллографирования и регистрации аварийных событий, что существенно упрощает анализ причин срабатывания защиты и последующую настройку параметров. Объем памяти позволяет хранить десятки записей осциллограмм с высоким разрешением по времени. Встроенные часы реального времени обеспечивают точную привязку событий, что критично для анализа каскадных аварий в сложных сетях.</w:t>
      </w:r>
    </w:p>
    <w:p>
      <w:pPr>
        <w:jc w:val="both"/>
        <w:ind w:firstLine="708"/>
        <w:spacing w:line="360" w:lineRule="auto"/>
      </w:pPr>
      <w:r>
        <w:rPr>
          <w:rFonts w:ascii="Times New Roman" w:hAnsi="Times New Roman"/>
          <w:sz w:val="28"/>
        </w:rPr>
        <w:t xml:space="preserve">Коммуникационные возможности терминалов включают поддержку протоколов Modbus RTU/TCP, DNP3, IEC 60870-5-101/104 и IEC 61850. Последний стандарт является основой концепции цифровых подстанций, где устройства обмениваются данными через высокоскоростные сети Ethernet с использованием сообщений GOOSE и Sampled Values. Это обеспечивает минимальные задержки передачи данных и высокую надежность обмена информацией между устройствами</w:t>
      </w:r>
      <w:hyperlink w:anchor="_Source_6">
        <w:r>
          <w:rPr>
            <w:rFonts w:ascii="Times New Roman" w:hAnsi="Times New Roman"/>
            <w:sz w:val="28"/>
            <w:rStyle w:val="Hyperlink"/>
          </w:rPr>
          <w:t>[6]</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Надежность микропроцессорных терминалов обеспечивается применением промышленных компонентов с расширенным температурным диапазоном, защитой от электромагнитных помех и импульсных перенапряжений, а также резервированием критичных узлов. Многие производители декларируют среднее время наработки на отказ (MTBF) более 100 000 часов, что соответствует примерно 11 годам непрерывной работы.</w:t>
      </w:r>
    </w:p>
    <w:p>
      <w:pPr>
        <w:pStyle w:val="Heading2"/>
        <w:spacing w:before="240" w:after="120"/>
      </w:pPr>
      <w:r>
        <w:rPr>
          <w:rFonts w:ascii="Times New Roman" w:hAnsi="Times New Roman"/>
          <w:b/>
          <w:sz w:val="28"/>
        </w:rPr>
        <w:t xml:space="preserve">Требования к устройствам РЗА для фидеров с двигательной нагрузкой</w:t>
      </w:r>
    </w:p>
    <w:p>
      <w:pPr>
        <w:jc w:val="both"/>
        <w:ind w:firstLine="708"/>
        <w:spacing w:line="360" w:lineRule="auto"/>
      </w:pPr>
      <w:r>
        <w:rPr>
          <w:rFonts w:ascii="Times New Roman" w:hAnsi="Times New Roman"/>
          <w:sz w:val="28"/>
        </w:rPr>
        <w:t xml:space="preserve">Фидеры 10 кВ с преобладающей двигательной нагрузкой имеют специфические особенности, которые необходимо учитывать при выборе устройств релейной защиты. Основной особенностью является наличие значительных пусковых токов асинхронных двигателей, которые могут превышать номинальный ток в 5-7 раз и длиться от нескольких секунд до десятков секунд в зависимости от мощности и момента инерции механизма.</w:t>
      </w:r>
    </w:p>
    <w:p>
      <w:pPr>
        <w:jc w:val="both"/>
        <w:ind w:firstLine="708"/>
        <w:spacing w:line="360" w:lineRule="auto"/>
      </w:pPr>
      <w:r>
        <w:rPr>
          <w:rFonts w:ascii="Times New Roman" w:hAnsi="Times New Roman"/>
          <w:sz w:val="28"/>
        </w:rPr>
        <w:t xml:space="preserve">Первостепенным требованием является способность устройства РЗА различать пусковые токи и токи короткого замыкания. Традиционные защиты с фиксированными уставками часто приводят к ложным срабатываниям при пуске мощных двигателей или к недостаточной чувствительности при необходимости обеспечить отстройку от пусковых режимов. Современные терминалы должны реализовывать алгоритмы адаптивной защиты, которые анализируют характер переходного процесса и принимают решение о срабатывании на основе комплекса критериев</w:t>
      </w:r>
      <w:hyperlink w:anchor="_Source_7">
        <w:r>
          <w:rPr>
            <w:rFonts w:ascii="Times New Roman" w:hAnsi="Times New Roman"/>
            <w:sz w:val="28"/>
            <w:rStyle w:val="Hyperlink"/>
          </w:rPr>
          <w:t>[7]</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Важным аспектом является обеспечение самозапуска двигателей после кратковременных перерывов питания. При восстановлении напряжения после срабатывания защиты и успешного АПВ все двигатели одновременно начинают разгон, что создает суммарный ток, значительно превышающий нормальный режим. Устройство РЗА должно обеспечивать выдержку времени, достаточную для завершения самозапуска, не допуская при этом длительной работы в режиме перегрузки.</w:t>
      </w:r>
    </w:p>
    <w:p>
      <w:pPr>
        <w:jc w:val="both"/>
        <w:ind w:firstLine="708"/>
        <w:spacing w:line="360" w:lineRule="auto"/>
      </w:pPr>
      <w:r>
        <w:rPr>
          <w:rFonts w:ascii="Times New Roman" w:hAnsi="Times New Roman"/>
          <w:sz w:val="28"/>
        </w:rPr>
        <w:t xml:space="preserve">Защита от асимметричных режимов приобретает особое значение для двигательной нагрузки, поскольку обрыв фазы или значительная несимметрия напряжений приводит к резкому увеличению токов в неповрежденных фазах и перегреву обмоток двигателей. Терминал должен реализовывать защиту от обрыва фазы и контроль коэффициента несимметрии напряжений с возможностью раздельной настройки уставок для режимов пуска и установившейся работы.</w:t>
      </w:r>
    </w:p>
    <w:p>
      <w:pPr>
        <w:jc w:val="both"/>
        <w:ind w:firstLine="708"/>
        <w:spacing w:line="360" w:lineRule="auto"/>
      </w:pPr>
      <w:r>
        <w:rPr>
          <w:rFonts w:ascii="Times New Roman" w:hAnsi="Times New Roman"/>
          <w:sz w:val="28"/>
        </w:rPr>
        <w:t xml:space="preserve">Функция защиты минимального напряжения критична для предотвращения опасных режимов работы двигателей при снижении напряжения сети. Глубокая просадка напряжения приводит к увеличению тока двигателей и может вызвать их опрокидывание. Терминал должен обеспечивать контроль напряжения с настраиваемыми порогами и выдержками времени, учитывающими допустимую длительность пониженного напряжения для конкретных типов двигателей.</w:t>
      </w:r>
    </w:p>
    <w:p>
      <w:pPr>
        <w:jc w:val="both"/>
        <w:ind w:firstLine="708"/>
        <w:spacing w:line="360" w:lineRule="auto"/>
      </w:pPr>
      <w:r>
        <w:rPr>
          <w:rFonts w:ascii="Times New Roman" w:hAnsi="Times New Roman"/>
          <w:sz w:val="28"/>
        </w:rPr>
        <w:t xml:space="preserve">Требования к быстродействию защиты определяются необходимостью минимизации повреждений оборудования при коротких замыканиях. Для фидеров 10 кВ время срабатывания токовой отсечки должно составлять не более 20-40 мс, а МТЗ с выдержкой времени – обеспечивать селективность с нижестоящими защитами при минимальных ступенях селективности.</w:t>
      </w:r>
    </w:p>
    <w:p>
      <w:pPr>
        <w:jc w:val="both"/>
        <w:ind w:firstLine="708"/>
        <w:spacing w:line="360" w:lineRule="auto"/>
      </w:pPr>
      <w:r>
        <w:rPr>
          <w:rFonts w:ascii="Times New Roman" w:hAnsi="Times New Roman"/>
          <w:sz w:val="28"/>
        </w:rPr>
        <w:t xml:space="preserve">Функциональность автоматики включает реализацию циклов АПВ с контролем наличия напряжения и синхронизма, что особенно важно для фидеров с распределенной генерацией или связями с другими источниками питания. Для двигательной нагрузки необходима возможность блокировки АПВ при определенных видах повреждений, например, при устойчивых однофазных замыканиях на землю</w:t>
      </w:r>
      <w:hyperlink w:anchor="_Source_7">
        <w:r>
          <w:rPr>
            <w:rFonts w:ascii="Times New Roman" w:hAnsi="Times New Roman"/>
            <w:sz w:val="28"/>
            <w:rStyle w:val="Hyperlink"/>
          </w:rPr>
          <w:t>[7]</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Диагностические возможности терминала должны включать контроль состояния цепей напряжения и тока, исправности выключателя, состояния аккумуляторной батареи оперативного тока. Регистрация параметров предаварийного режима и осциллограмм аварийных процессов с высоким разрешением необходима для последующего анализа и оптимизации настроек защиты.</w:t>
      </w:r>
    </w:p>
    <w:p>
      <w:pPr>
        <w:jc w:val="both"/>
        <w:ind w:firstLine="708"/>
        <w:spacing w:line="360" w:lineRule="auto"/>
      </w:pPr>
      <w:r>
        <w:rPr>
          <w:rFonts w:ascii="Times New Roman" w:hAnsi="Times New Roman"/>
          <w:sz w:val="28"/>
        </w:rPr>
        <w:t xml:space="preserve">Эксплуатационные требования включают расширенный температурный диапазон работы (от -40 до +70°C), устойчивость к вибрациям и ударным нагрузкам, защиту от пыли и влаги в соответствии со степенью IP54 и выше. Интерфейс пользователя должен обеспечивать удобство настройки и контроля параметров как локально через дисплей и клавиатуру, так и удаленно через коммуникационные порты.</w:t>
      </w:r>
    </w:p>
    <w:p>
      <w:pPr>
        <w:pStyle w:val="Heading2"/>
        <w:spacing w:before="240" w:after="120"/>
      </w:pPr>
      <w:r>
        <w:rPr>
          <w:rFonts w:ascii="Times New Roman" w:hAnsi="Times New Roman"/>
          <w:b/>
          <w:sz w:val="28"/>
        </w:rPr>
        <w:t xml:space="preserve">Сравнительный анализ терминалов различных производителей</w:t>
      </w:r>
    </w:p>
    <w:p>
      <w:pPr>
        <w:jc w:val="both"/>
        <w:ind w:firstLine="708"/>
        <w:spacing w:line="360" w:lineRule="auto"/>
      </w:pPr>
      <w:r>
        <w:rPr>
          <w:rFonts w:ascii="Times New Roman" w:hAnsi="Times New Roman"/>
          <w:sz w:val="28"/>
        </w:rPr>
        <w:t xml:space="preserve">На российском рынке устройств релейной защиты представлена продукция как отечественных, так и зарубежных производителей. Среди российских компаний лидирующие позиции занимают НПП "ЭКРА", "РЕЛЕМАТИКА", "Электротехнические заводы РЗВА", Schneider Electric (производство в России), ABB, Siemens и General Electric. Каждый производитель предлагает линейку терминалов с различным функционалом и ценовыми характеристиками.</w:t>
      </w:r>
    </w:p>
    <w:p>
      <w:pPr>
        <w:jc w:val="both"/>
        <w:ind w:firstLine="708"/>
        <w:spacing w:line="360" w:lineRule="auto"/>
      </w:pPr>
      <w:r>
        <w:rPr>
          <w:rFonts w:ascii="Times New Roman" w:hAnsi="Times New Roman"/>
          <w:sz w:val="28"/>
        </w:rPr>
        <w:t xml:space="preserve">Терминалы серии ЭКРА разработаны специально для российских условий эксплуатации и имеют широкое распространение в сетях среднего напряжения. Модель ЭКРА 200 серии предназначена для защиты присоединений 6-35 кВ и реализует полный комплекс функций защиты и автоматики. Терминал обеспечивает токовую защиту с независимыми и зависимыми характеристиками, защиту по напряжению, направленную защиту от замыканий на землю, а также функции АПВ и АВР. Особенностью является адаптация алгоритмов под требования российских нормативных документов и возможность работы в условиях искаженной формы сигналов.</w:t>
      </w:r>
    </w:p>
    <w:p>
      <w:pPr>
        <w:jc w:val="both"/>
        <w:ind w:firstLine="708"/>
        <w:spacing w:line="360" w:lineRule="auto"/>
      </w:pPr>
      <w:r>
        <w:rPr>
          <w:rFonts w:ascii="Times New Roman" w:hAnsi="Times New Roman"/>
          <w:sz w:val="28"/>
        </w:rPr>
        <w:t xml:space="preserve">Продукция компании РЕЛЕМАТИКА, в частности терминалы серии Сириус, характеризуется высокой степенью интеграции и развитыми коммуникационными возможностями. Терминалы поддерживают протокол IEC 61850 и могут использоваться в составе цифровых подстанций. Функционал включает расширенные возможности осциллографирования и анализа качества электроэнергии, что полезно для диагностики состояния оборудования и выявления предаварийных ситуаций.</w:t>
      </w:r>
    </w:p>
    <w:p>
      <w:pPr>
        <w:jc w:val="both"/>
        <w:ind w:firstLine="708"/>
        <w:spacing w:line="360" w:lineRule="auto"/>
      </w:pPr>
      <w:r>
        <w:rPr>
          <w:rFonts w:ascii="Times New Roman" w:hAnsi="Times New Roman"/>
          <w:sz w:val="28"/>
        </w:rPr>
        <w:t xml:space="preserve">Зарубежные производители предлагают терминалы с высокими техническими характеристиками и широкими функциональными возможностями. Терминалы ABB серии REF615 и Siemens серии SIPROTEC 7SJ обеспечивают комплексную защиту присоединений и имеют модульную архитектуру, позволяющую гибко конфигурировать состав функций. Эти устройства отличаются высокой надежностью, продвинутыми алгоритмами обработки сигналов и развитой системой самодиагностики.</w:t>
      </w:r>
    </w:p>
    <w:p>
      <w:pPr>
        <w:jc w:val="center"/>
        <w:spacing w:after="120"/>
      </w:pPr>
      <w:r>
        <w:rPr>
          <w:rFonts w:ascii="Times New Roman" w:hAnsi="Times New Roman"/>
          <w:sz w:val="24"/>
          <w:b/>
        </w:rPr>
        <w:t>Таблица 4. Сравнительные характеристики микропроцессорных терминалов защиты</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Параметр</w:t>
            </w:r>
          </w:p>
        </w:tc>
        <w:tc>
          <w:tcPr>
            <w:vAlign w:val="center"/>
          </w:tcPr>
          <w:p>
            <w:pPr>
              <w:jc w:val="center"/>
            </w:pPr>
            <w:r>
              <w:rPr>
                <w:rFonts w:ascii="Times New Roman"/>
                <w:sz w:val="24"/>
                <w:b/>
              </w:rPr>
              <w:t>ЭКРА 200</w:t>
            </w:r>
          </w:p>
        </w:tc>
        <w:tc>
          <w:tcPr>
            <w:vAlign w:val="center"/>
          </w:tcPr>
          <w:p>
            <w:pPr>
              <w:jc w:val="center"/>
            </w:pPr>
            <w:r>
              <w:rPr>
                <w:rFonts w:ascii="Times New Roman"/>
                <w:sz w:val="24"/>
                <w:b/>
              </w:rPr>
              <w:t>Сириус-3-ОМП</w:t>
            </w:r>
          </w:p>
        </w:tc>
        <w:tc>
          <w:tcPr>
            <w:vAlign w:val="center"/>
          </w:tcPr>
          <w:p>
            <w:pPr>
              <w:jc w:val="center"/>
            </w:pPr>
            <w:r>
              <w:rPr>
                <w:rFonts w:ascii="Times New Roman"/>
                <w:sz w:val="24"/>
                <w:b/>
              </w:rPr>
              <w:t>ABB REF615</w:t>
            </w:r>
          </w:p>
        </w:tc>
        <w:tc>
          <w:tcPr>
            <w:vAlign w:val="center"/>
          </w:tcPr>
          <w:p>
            <w:pPr>
              <w:jc w:val="center"/>
            </w:pPr>
            <w:r>
              <w:rPr>
                <w:rFonts w:ascii="Times New Roman"/>
                <w:sz w:val="24"/>
                <w:b/>
              </w:rPr>
              <w:t>Siemens 7SJ64</w:t>
            </w:r>
          </w:p>
        </w:tc>
      </w:tr>
      <w:tr>
        <w:tc>
          <w:tcPr>
            <w:vAlign w:val="center"/>
          </w:tcPr>
          <w:p>
            <w:pPr>
              <w:jc w:val="center"/>
            </w:pPr>
            <w:r>
              <w:rPr>
                <w:rFonts w:ascii="Times New Roman"/>
                <w:sz w:val="24"/>
              </w:rPr>
              <w:t>Номинальное напряжение, кВ</w:t>
            </w:r>
          </w:p>
        </w:tc>
        <w:tc>
          <w:tcPr>
            <w:vAlign w:val="center"/>
          </w:tcPr>
          <w:p>
            <w:pPr>
              <w:jc w:val="center"/>
            </w:pPr>
            <w:r>
              <w:rPr>
                <w:rFonts w:ascii="Times New Roman"/>
                <w:sz w:val="24"/>
              </w:rPr>
              <w:t>6-35</w:t>
            </w:r>
          </w:p>
        </w:tc>
        <w:tc>
          <w:tcPr>
            <w:vAlign w:val="center"/>
          </w:tcPr>
          <w:p>
            <w:pPr>
              <w:jc w:val="center"/>
            </w:pPr>
            <w:r>
              <w:rPr>
                <w:rFonts w:ascii="Times New Roman"/>
                <w:sz w:val="24"/>
              </w:rPr>
              <w:t>6-35</w:t>
            </w:r>
          </w:p>
        </w:tc>
        <w:tc>
          <w:tcPr>
            <w:vAlign w:val="center"/>
          </w:tcPr>
          <w:p>
            <w:pPr>
              <w:jc w:val="center"/>
            </w:pPr>
            <w:r>
              <w:rPr>
                <w:rFonts w:ascii="Times New Roman"/>
                <w:sz w:val="24"/>
              </w:rPr>
              <w:t>1-52</w:t>
            </w:r>
          </w:p>
        </w:tc>
        <w:tc>
          <w:tcPr>
            <w:vAlign w:val="center"/>
          </w:tcPr>
          <w:p>
            <w:pPr>
              <w:jc w:val="center"/>
            </w:pPr>
            <w:r>
              <w:rPr>
                <w:rFonts w:ascii="Times New Roman"/>
                <w:sz w:val="24"/>
              </w:rPr>
              <w:t>0.4-35</w:t>
            </w:r>
          </w:p>
        </w:tc>
      </w:tr>
      <w:tr>
        <w:tc>
          <w:tcPr>
            <w:vAlign w:val="center"/>
          </w:tcPr>
          <w:p>
            <w:pPr>
              <w:jc w:val="center"/>
            </w:pPr>
            <w:r>
              <w:rPr>
                <w:rFonts w:ascii="Times New Roman"/>
                <w:sz w:val="24"/>
              </w:rPr>
              <w:t>Количество входов тока</w:t>
            </w:r>
          </w:p>
        </w:tc>
        <w:tc>
          <w:tcPr>
            <w:vAlign w:val="center"/>
          </w:tcPr>
          <w:p>
            <w:pPr>
              <w:jc w:val="center"/>
            </w:pPr>
            <w:r>
              <w:rPr>
                <w:rFonts w:ascii="Times New Roman"/>
                <w:sz w:val="24"/>
              </w:rPr>
              <w:t>4</w:t>
            </w:r>
          </w:p>
        </w:tc>
        <w:tc>
          <w:tcPr>
            <w:vAlign w:val="center"/>
          </w:tcPr>
          <w:p>
            <w:pPr>
              <w:jc w:val="center"/>
            </w:pPr>
            <w:r>
              <w:rPr>
                <w:rFonts w:ascii="Times New Roman"/>
                <w:sz w:val="24"/>
              </w:rPr>
              <w:t>4</w:t>
            </w:r>
          </w:p>
        </w:tc>
        <w:tc>
          <w:tcPr>
            <w:vAlign w:val="center"/>
          </w:tcPr>
          <w:p>
            <w:pPr>
              <w:jc w:val="center"/>
            </w:pPr>
            <w:r>
              <w:rPr>
                <w:rFonts w:ascii="Times New Roman"/>
                <w:sz w:val="24"/>
              </w:rPr>
              <w:t>4-8</w:t>
            </w:r>
          </w:p>
        </w:tc>
        <w:tc>
          <w:tcPr>
            <w:vAlign w:val="center"/>
          </w:tcPr>
          <w:p>
            <w:pPr>
              <w:jc w:val="center"/>
            </w:pPr>
            <w:r>
              <w:rPr>
                <w:rFonts w:ascii="Times New Roman"/>
                <w:sz w:val="24"/>
              </w:rPr>
              <w:t>4-6</w:t>
            </w:r>
          </w:p>
        </w:tc>
      </w:tr>
      <w:tr>
        <w:tc>
          <w:tcPr>
            <w:vAlign w:val="center"/>
          </w:tcPr>
          <w:p>
            <w:pPr>
              <w:jc w:val="center"/>
            </w:pPr>
            <w:r>
              <w:rPr>
                <w:rFonts w:ascii="Times New Roman"/>
                <w:sz w:val="24"/>
              </w:rPr>
              <w:t>Количество входов напряжения</w:t>
            </w:r>
          </w:p>
        </w:tc>
        <w:tc>
          <w:tcPr>
            <w:vAlign w:val="center"/>
          </w:tcPr>
          <w:p>
            <w:pPr>
              <w:jc w:val="center"/>
            </w:pPr>
            <w:r>
              <w:rPr>
                <w:rFonts w:ascii="Times New Roman"/>
                <w:sz w:val="24"/>
              </w:rPr>
              <w:t>4</w:t>
            </w:r>
          </w:p>
        </w:tc>
        <w:tc>
          <w:tcPr>
            <w:vAlign w:val="center"/>
          </w:tcPr>
          <w:p>
            <w:pPr>
              <w:jc w:val="center"/>
            </w:pPr>
            <w:r>
              <w:rPr>
                <w:rFonts w:ascii="Times New Roman"/>
                <w:sz w:val="24"/>
              </w:rPr>
              <w:t>4</w:t>
            </w:r>
          </w:p>
        </w:tc>
        <w:tc>
          <w:tcPr>
            <w:vAlign w:val="center"/>
          </w:tcPr>
          <w:p>
            <w:pPr>
              <w:jc w:val="center"/>
            </w:pPr>
            <w:r>
              <w:rPr>
                <w:rFonts w:ascii="Times New Roman"/>
                <w:sz w:val="24"/>
              </w:rPr>
              <w:t>4-8</w:t>
            </w:r>
          </w:p>
        </w:tc>
        <w:tc>
          <w:tcPr>
            <w:vAlign w:val="center"/>
          </w:tcPr>
          <w:p>
            <w:pPr>
              <w:jc w:val="center"/>
            </w:pPr>
            <w:r>
              <w:rPr>
                <w:rFonts w:ascii="Times New Roman"/>
                <w:sz w:val="24"/>
              </w:rPr>
              <w:t>4</w:t>
            </w:r>
          </w:p>
        </w:tc>
      </w:tr>
      <w:tr>
        <w:tc>
          <w:tcPr>
            <w:vAlign w:val="center"/>
          </w:tcPr>
          <w:p>
            <w:pPr>
              <w:jc w:val="center"/>
            </w:pPr>
            <w:r>
              <w:rPr>
                <w:rFonts w:ascii="Times New Roman"/>
                <w:sz w:val="24"/>
              </w:rPr>
              <w:t>Частота дискретизации, кГц</w:t>
            </w:r>
          </w:p>
        </w:tc>
        <w:tc>
          <w:tcPr>
            <w:vAlign w:val="center"/>
          </w:tcPr>
          <w:p>
            <w:pPr>
              <w:jc w:val="center"/>
            </w:pPr>
            <w:r>
              <w:rPr>
                <w:rFonts w:ascii="Times New Roman"/>
                <w:sz w:val="24"/>
              </w:rPr>
              <w:t>2</w:t>
            </w:r>
          </w:p>
        </w:tc>
        <w:tc>
          <w:tcPr>
            <w:vAlign w:val="center"/>
          </w:tcPr>
          <w:p>
            <w:pPr>
              <w:jc w:val="center"/>
            </w:pPr>
            <w:r>
              <w:rPr>
                <w:rFonts w:ascii="Times New Roman"/>
                <w:sz w:val="24"/>
              </w:rPr>
              <w:t>2.4</w:t>
            </w:r>
          </w:p>
        </w:tc>
        <w:tc>
          <w:tcPr>
            <w:vAlign w:val="center"/>
          </w:tcPr>
          <w:p>
            <w:pPr>
              <w:jc w:val="center"/>
            </w:pPr>
            <w:r>
              <w:rPr>
                <w:rFonts w:ascii="Times New Roman"/>
                <w:sz w:val="24"/>
              </w:rPr>
              <w:t>4</w:t>
            </w:r>
          </w:p>
        </w:tc>
        <w:tc>
          <w:tcPr>
            <w:vAlign w:val="center"/>
          </w:tcPr>
          <w:p>
            <w:pPr>
              <w:jc w:val="center"/>
            </w:pPr>
            <w:r>
              <w:rPr>
                <w:rFonts w:ascii="Times New Roman"/>
                <w:sz w:val="24"/>
              </w:rPr>
              <w:t>4</w:t>
            </w:r>
          </w:p>
        </w:tc>
      </w:tr>
      <w:tr>
        <w:tc>
          <w:tcPr>
            <w:vAlign w:val="center"/>
          </w:tcPr>
          <w:p>
            <w:pPr>
              <w:jc w:val="center"/>
            </w:pPr>
            <w:r>
              <w:rPr>
                <w:rFonts w:ascii="Times New Roman"/>
                <w:sz w:val="24"/>
              </w:rPr>
              <w:t>Время срабатывания отсечки, мс</w:t>
            </w:r>
          </w:p>
        </w:tc>
        <w:tc>
          <w:tcPr>
            <w:vAlign w:val="center"/>
          </w:tcPr>
          <w:p>
            <w:pPr>
              <w:jc w:val="center"/>
            </w:pPr>
            <w:r>
              <w:rPr>
                <w:rFonts w:ascii="Times New Roman"/>
                <w:sz w:val="24"/>
              </w:rPr>
              <w:t>&lt;30</w:t>
            </w:r>
          </w:p>
        </w:tc>
        <w:tc>
          <w:tcPr>
            <w:vAlign w:val="center"/>
          </w:tcPr>
          <w:p>
            <w:pPr>
              <w:jc w:val="center"/>
            </w:pPr>
            <w:r>
              <w:rPr>
                <w:rFonts w:ascii="Times New Roman"/>
                <w:sz w:val="24"/>
              </w:rPr>
              <w:t>&lt;25</w:t>
            </w:r>
          </w:p>
        </w:tc>
        <w:tc>
          <w:tcPr>
            <w:vAlign w:val="center"/>
          </w:tcPr>
          <w:p>
            <w:pPr>
              <w:jc w:val="center"/>
            </w:pPr>
            <w:r>
              <w:rPr>
                <w:rFonts w:ascii="Times New Roman"/>
                <w:sz w:val="24"/>
              </w:rPr>
              <w:t>&lt;20</w:t>
            </w:r>
          </w:p>
        </w:tc>
        <w:tc>
          <w:tcPr>
            <w:vAlign w:val="center"/>
          </w:tcPr>
          <w:p>
            <w:pPr>
              <w:jc w:val="center"/>
            </w:pPr>
            <w:r>
              <w:rPr>
                <w:rFonts w:ascii="Times New Roman"/>
                <w:sz w:val="24"/>
              </w:rPr>
              <w:t>&lt;20</w:t>
            </w:r>
          </w:p>
        </w:tc>
      </w:tr>
      <w:tr>
        <w:tc>
          <w:tcPr>
            <w:vAlign w:val="center"/>
          </w:tcPr>
          <w:p>
            <w:pPr>
              <w:jc w:val="center"/>
            </w:pPr>
            <w:r>
              <w:rPr>
                <w:rFonts w:ascii="Times New Roman"/>
                <w:sz w:val="24"/>
              </w:rPr>
              <w:t>Поддержка IEC 61850</w:t>
            </w:r>
          </w:p>
        </w:tc>
        <w:tc>
          <w:tcPr>
            <w:vAlign w:val="center"/>
          </w:tcPr>
          <w:p>
            <w:pPr>
              <w:jc w:val="center"/>
            </w:pPr>
            <w:r>
              <w:rPr>
                <w:rFonts w:ascii="Times New Roman"/>
                <w:sz w:val="24"/>
              </w:rPr>
              <w:t>Да</w:t>
            </w:r>
          </w:p>
        </w:tc>
        <w:tc>
          <w:tcPr>
            <w:vAlign w:val="center"/>
          </w:tcPr>
          <w:p>
            <w:pPr>
              <w:jc w:val="center"/>
            </w:pPr>
            <w:r>
              <w:rPr>
                <w:rFonts w:ascii="Times New Roman"/>
                <w:sz w:val="24"/>
              </w:rPr>
              <w:t>Да</w:t>
            </w:r>
          </w:p>
        </w:tc>
        <w:tc>
          <w:tcPr>
            <w:vAlign w:val="center"/>
          </w:tcPr>
          <w:p>
            <w:pPr>
              <w:jc w:val="center"/>
            </w:pPr>
            <w:r>
              <w:rPr>
                <w:rFonts w:ascii="Times New Roman"/>
                <w:sz w:val="24"/>
              </w:rPr>
              <w:t>Да</w:t>
            </w:r>
          </w:p>
        </w:tc>
        <w:tc>
          <w:tcPr>
            <w:vAlign w:val="center"/>
          </w:tcPr>
          <w:p>
            <w:pPr>
              <w:jc w:val="center"/>
            </w:pPr>
            <w:r>
              <w:rPr>
                <w:rFonts w:ascii="Times New Roman"/>
                <w:sz w:val="24"/>
              </w:rPr>
              <w:t>Да</w:t>
            </w:r>
          </w:p>
        </w:tc>
      </w:tr>
      <w:tr>
        <w:tc>
          <w:tcPr>
            <w:vAlign w:val="center"/>
          </w:tcPr>
          <w:p>
            <w:pPr>
              <w:jc w:val="center"/>
            </w:pPr>
            <w:r>
              <w:rPr>
                <w:rFonts w:ascii="Times New Roman"/>
                <w:sz w:val="24"/>
              </w:rPr>
              <w:t>Количество программируемых логик</w:t>
            </w:r>
          </w:p>
        </w:tc>
        <w:tc>
          <w:tcPr>
            <w:vAlign w:val="center"/>
          </w:tcPr>
          <w:p>
            <w:pPr>
              <w:jc w:val="center"/>
            </w:pPr>
            <w:r>
              <w:rPr>
                <w:rFonts w:ascii="Times New Roman"/>
                <w:sz w:val="24"/>
              </w:rPr>
              <w:t>16</w:t>
            </w:r>
          </w:p>
        </w:tc>
        <w:tc>
          <w:tcPr>
            <w:vAlign w:val="center"/>
          </w:tcPr>
          <w:p>
            <w:pPr>
              <w:jc w:val="center"/>
            </w:pPr>
            <w:r>
              <w:rPr>
                <w:rFonts w:ascii="Times New Roman"/>
                <w:sz w:val="24"/>
              </w:rPr>
              <w:t>32</w:t>
            </w:r>
          </w:p>
        </w:tc>
        <w:tc>
          <w:tcPr>
            <w:vAlign w:val="center"/>
          </w:tcPr>
          <w:p>
            <w:pPr>
              <w:jc w:val="center"/>
            </w:pPr>
            <w:r>
              <w:rPr>
                <w:rFonts w:ascii="Times New Roman"/>
                <w:sz w:val="24"/>
              </w:rPr>
              <w:t>64</w:t>
            </w:r>
          </w:p>
        </w:tc>
        <w:tc>
          <w:tcPr>
            <w:vAlign w:val="center"/>
          </w:tcPr>
          <w:p>
            <w:pPr>
              <w:jc w:val="center"/>
            </w:pPr>
            <w:r>
              <w:rPr>
                <w:rFonts w:ascii="Times New Roman"/>
                <w:sz w:val="24"/>
              </w:rPr>
              <w:t>128</w:t>
            </w:r>
          </w:p>
        </w:tc>
      </w:tr>
      <w:tr>
        <w:tc>
          <w:tcPr>
            <w:vAlign w:val="center"/>
          </w:tcPr>
          <w:p>
            <w:pPr>
              <w:jc w:val="center"/>
            </w:pPr>
            <w:r>
              <w:rPr>
                <w:rFonts w:ascii="Times New Roman"/>
                <w:sz w:val="24"/>
              </w:rPr>
              <w:t>Объем памяти осциллограмм</w:t>
            </w:r>
          </w:p>
        </w:tc>
        <w:tc>
          <w:tcPr>
            <w:vAlign w:val="center"/>
          </w:tcPr>
          <w:p>
            <w:pPr>
              <w:jc w:val="center"/>
            </w:pPr>
            <w:r>
              <w:rPr>
                <w:rFonts w:ascii="Times New Roman"/>
                <w:sz w:val="24"/>
              </w:rPr>
              <w:t>100 записей</w:t>
            </w:r>
          </w:p>
        </w:tc>
        <w:tc>
          <w:tcPr>
            <w:vAlign w:val="center"/>
          </w:tcPr>
          <w:p>
            <w:pPr>
              <w:jc w:val="center"/>
            </w:pPr>
            <w:r>
              <w:rPr>
                <w:rFonts w:ascii="Times New Roman"/>
                <w:sz w:val="24"/>
              </w:rPr>
              <w:t>150 записей</w:t>
            </w:r>
          </w:p>
        </w:tc>
        <w:tc>
          <w:tcPr>
            <w:vAlign w:val="center"/>
          </w:tcPr>
          <w:p>
            <w:pPr>
              <w:jc w:val="center"/>
            </w:pPr>
            <w:r>
              <w:rPr>
                <w:rFonts w:ascii="Times New Roman"/>
                <w:sz w:val="24"/>
              </w:rPr>
              <w:t>200 записей</w:t>
            </w:r>
          </w:p>
        </w:tc>
        <w:tc>
          <w:tcPr>
            <w:vAlign w:val="center"/>
          </w:tcPr>
          <w:p>
            <w:pPr>
              <w:jc w:val="center"/>
            </w:pPr>
            <w:r>
              <w:rPr>
                <w:rFonts w:ascii="Times New Roman"/>
                <w:sz w:val="24"/>
              </w:rPr>
              <w:t>256 записей</w:t>
            </w:r>
          </w:p>
        </w:tc>
      </w:tr>
      <w:tr>
        <w:tc>
          <w:tcPr>
            <w:vAlign w:val="center"/>
          </w:tcPr>
          <w:p>
            <w:pPr>
              <w:jc w:val="center"/>
            </w:pPr>
            <w:r>
              <w:rPr>
                <w:rFonts w:ascii="Times New Roman"/>
                <w:sz w:val="24"/>
              </w:rPr>
              <w:t>Диапазон рабочих температур, °C</w:t>
            </w:r>
          </w:p>
        </w:tc>
        <w:tc>
          <w:tcPr>
            <w:vAlign w:val="center"/>
          </w:tcPr>
          <w:p>
            <w:pPr>
              <w:jc w:val="center"/>
            </w:pPr>
            <w:r>
              <w:rPr>
                <w:rFonts w:ascii="Times New Roman"/>
                <w:sz w:val="24"/>
              </w:rPr>
              <w:t>-40...+70</w:t>
            </w:r>
          </w:p>
        </w:tc>
        <w:tc>
          <w:tcPr>
            <w:vAlign w:val="center"/>
          </w:tcPr>
          <w:p>
            <w:pPr>
              <w:jc w:val="center"/>
            </w:pPr>
            <w:r>
              <w:rPr>
                <w:rFonts w:ascii="Times New Roman"/>
                <w:sz w:val="24"/>
              </w:rPr>
              <w:t>-40...+70</w:t>
            </w:r>
          </w:p>
        </w:tc>
        <w:tc>
          <w:tcPr>
            <w:vAlign w:val="center"/>
          </w:tcPr>
          <w:p>
            <w:pPr>
              <w:jc w:val="center"/>
            </w:pPr>
            <w:r>
              <w:rPr>
                <w:rFonts w:ascii="Times New Roman"/>
                <w:sz w:val="24"/>
              </w:rPr>
              <w:t>-40...+85</w:t>
            </w:r>
          </w:p>
        </w:tc>
        <w:tc>
          <w:tcPr>
            <w:vAlign w:val="center"/>
          </w:tcPr>
          <w:p>
            <w:pPr>
              <w:jc w:val="center"/>
            </w:pPr>
            <w:r>
              <w:rPr>
                <w:rFonts w:ascii="Times New Roman"/>
                <w:sz w:val="24"/>
              </w:rPr>
              <w:t>-40...+70</w:t>
            </w:r>
          </w:p>
        </w:tc>
      </w:tr>
      <w:tr>
        <w:tc>
          <w:tcPr>
            <w:vAlign w:val="center"/>
          </w:tcPr>
          <w:p>
            <w:pPr>
              <w:jc w:val="center"/>
            </w:pPr>
            <w:r>
              <w:rPr>
                <w:rFonts w:ascii="Times New Roman"/>
                <w:sz w:val="24"/>
              </w:rPr>
              <w:t>Ориентировочная цена, тыс. руб.</w:t>
            </w:r>
          </w:p>
        </w:tc>
        <w:tc>
          <w:tcPr>
            <w:vAlign w:val="center"/>
          </w:tcPr>
          <w:p>
            <w:pPr>
              <w:jc w:val="center"/>
            </w:pPr>
            <w:r>
              <w:rPr>
                <w:rFonts w:ascii="Times New Roman"/>
                <w:sz w:val="24"/>
              </w:rPr>
              <w:t>80-120</w:t>
            </w:r>
          </w:p>
        </w:tc>
        <w:tc>
          <w:tcPr>
            <w:vAlign w:val="center"/>
          </w:tcPr>
          <w:p>
            <w:pPr>
              <w:jc w:val="center"/>
            </w:pPr>
            <w:r>
              <w:rPr>
                <w:rFonts w:ascii="Times New Roman"/>
                <w:sz w:val="24"/>
              </w:rPr>
              <w:t>100-150</w:t>
            </w:r>
          </w:p>
        </w:tc>
        <w:tc>
          <w:tcPr>
            <w:vAlign w:val="center"/>
          </w:tcPr>
          <w:p>
            <w:pPr>
              <w:jc w:val="center"/>
            </w:pPr>
            <w:r>
              <w:rPr>
                <w:rFonts w:ascii="Times New Roman"/>
                <w:sz w:val="24"/>
              </w:rPr>
              <w:t>180-250</w:t>
            </w:r>
          </w:p>
        </w:tc>
        <w:tc>
          <w:tcPr>
            <w:vAlign w:val="center"/>
          </w:tcPr>
          <w:p>
            <w:pPr>
              <w:jc w:val="center"/>
            </w:pPr>
            <w:r>
              <w:rPr>
                <w:rFonts w:ascii="Times New Roman"/>
                <w:sz w:val="24"/>
              </w:rPr>
              <w:t>200-280</w:t>
            </w:r>
          </w:p>
        </w:tc>
      </w:tr>
    </w:tbl>
    <w:p>
      <w:r>
        <w:t/>
      </w:r>
    </w:p>
    <w:p>
      <w:pPr>
        <w:jc w:val="both"/>
        <w:ind w:firstLine="708"/>
        <w:spacing w:line="360" w:lineRule="auto"/>
      </w:pPr>
      <w:r>
        <w:rPr>
          <w:rFonts w:ascii="Times New Roman" w:hAnsi="Times New Roman"/>
          <w:sz w:val="28"/>
        </w:rPr>
        <w:t xml:space="preserve">Важным критерием сравнения является наличие адаптивных алгоритмов защиты, учитывающих специфику двигательной нагрузки. Терминалы ЭКРА и Сириус имеют встроенные функции блокировки защиты на время пуска двигателей с автоматическим определением окончания переходного процесса. Зарубежные терминалы предоставляют более широкие возможности программирования логики работы, что позволяет реализовать сложные алгоритмы адаптации уставок в зависимости от состояния сети.</w:t>
      </w:r>
    </w:p>
    <w:p>
      <w:pPr>
        <w:jc w:val="both"/>
        <w:ind w:firstLine="708"/>
        <w:spacing w:line="360" w:lineRule="auto"/>
      </w:pPr>
      <w:r>
        <w:rPr>
          <w:rFonts w:ascii="Times New Roman" w:hAnsi="Times New Roman"/>
          <w:sz w:val="28"/>
        </w:rPr>
        <w:t xml:space="preserve">Коммуникационные возможности всех рассматриваемых терминалов включают интерфейсы RS-485, Ethernet и поддержку основных промышленных протоколов. Однако степень интеграции в системы SCADA и возможности удаленной диагностики различаются. Зарубежные терминалы обычно имеют более развитые веб-интерфейсы и инструменты для удаленной настройки и мониторинга.</w:t>
      </w:r>
    </w:p>
    <w:p>
      <w:pPr>
        <w:jc w:val="both"/>
        <w:ind w:firstLine="708"/>
        <w:spacing w:line="360" w:lineRule="auto"/>
      </w:pPr>
      <w:r>
        <w:rPr>
          <w:rFonts w:ascii="Times New Roman" w:hAnsi="Times New Roman"/>
          <w:sz w:val="28"/>
        </w:rPr>
        <w:t xml:space="preserve">Надежность и сервисное обслуживание являются критичными факторами для устройств, работающих в системах электроснабжения. Отечественные производители обеспечивают более быструю техническую поддержку и доступность запасных частей на территории России, что важно для оперативного устранения неисправностей. Зарубежные производители предлагают более длительные гарантийные сроки и глобальную сеть сервисных центров, но логистика может занимать больше времени</w:t>
      </w:r>
      <w:hyperlink w:anchor="_Source_6">
        <w:r>
          <w:rPr>
            <w:rFonts w:ascii="Times New Roman" w:hAnsi="Times New Roman"/>
            <w:sz w:val="28"/>
            <w:rStyle w:val="Hyperlink"/>
          </w:rPr>
          <w:t>[6]</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Стоимость устройств варьируется в значительных пределах и зависит от функциональности и бренда. Отечественные терминалы обычно имеют более доступную цену при сопоставимом функционале, что делает их привлекательными для массового применения в распределительных сетях. Зарубежные устройства оправдывают более высокую стоимость расширенными возможностями и репутацией производителя.</w:t>
      </w:r>
    </w:p>
    <w:p>
      <w:pPr>
        <w:pStyle w:val="Heading2"/>
        <w:spacing w:before="240" w:after="120"/>
      </w:pPr>
      <w:r>
        <w:rPr>
          <w:rFonts w:ascii="Times New Roman" w:hAnsi="Times New Roman"/>
          <w:b/>
          <w:sz w:val="28"/>
        </w:rPr>
        <w:t xml:space="preserve">Выбор и обоснование типа микропроцессорного терминала защиты</w:t>
      </w:r>
    </w:p>
    <w:p>
      <w:pPr>
        <w:jc w:val="both"/>
        <w:ind w:firstLine="708"/>
        <w:spacing w:line="360" w:lineRule="auto"/>
      </w:pPr>
      <w:r>
        <w:rPr>
          <w:rFonts w:ascii="Times New Roman" w:hAnsi="Times New Roman"/>
          <w:sz w:val="28"/>
        </w:rPr>
        <w:t xml:space="preserve">На основе проведенного анализа требований к защите фидера 10 кВ с двигательной нагрузкой и сравнения характеристик доступных терминалов, для данного проекта модернизации рекомендуется выбор терминала отечественного производства серии ЭКРА 200 или аналогичного устройства серии Сириус-3.</w:t>
      </w:r>
    </w:p>
    <w:p>
      <w:pPr>
        <w:jc w:val="both"/>
        <w:ind w:firstLine="708"/>
        <w:spacing w:line="360" w:lineRule="auto"/>
      </w:pPr>
      <w:r>
        <w:rPr>
          <w:rFonts w:ascii="Times New Roman" w:hAnsi="Times New Roman"/>
          <w:sz w:val="28"/>
        </w:rPr>
        <w:t xml:space="preserve">Основными факторами, определяющими выбор, являются:</w:t>
      </w:r>
    </w:p>
    <w:p>
      <w:pPr>
        <w:jc w:val="both"/>
        <w:ind w:firstLine="708"/>
        <w:spacing w:line="360" w:lineRule="auto"/>
      </w:pPr>
      <w:r>
        <w:rPr>
          <w:rFonts w:ascii="Times New Roman" w:hAnsi="Times New Roman"/>
          <w:sz w:val="28"/>
        </w:rPr>
        <w:t xml:space="preserve">Соответствие функциональным требованиям. Выбранные терминалы реализуют полный комплекс необходимых функций защиты: максимальную токовую защиту с независимыми и зависимыми характеристиками, токовую отсечку, защиту от замыканий на землю, защиту по напряжению, а также автоматику АПВ. Наличие адаптивных алгоритмов позволяет учитывать специфику двигательной нагрузки, обеспечивая отстройку от пусковых токов и самозапуска двигателей</w:t>
      </w:r>
      <w:hyperlink w:anchor="_Source_7">
        <w:r>
          <w:rPr>
            <w:rFonts w:ascii="Times New Roman" w:hAnsi="Times New Roman"/>
            <w:sz w:val="28"/>
            <w:rStyle w:val="Hyperlink"/>
          </w:rPr>
          <w:t>[7]</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Техническая надежность и адаптация к российским условиям. Терминалы ЭКРА и Сириус разработаны с учетом особенностей эксплуатации в российских электрических сетях, включая возможные искажения формы сигналов, широкий диапазон изменения параметров сети и климатические условия. Расширенный температурный диапазон работы и защита от внешних воздействий обеспечивают стабильную работу в любых условиях.</w:t>
      </w:r>
    </w:p>
    <w:p>
      <w:pPr>
        <w:jc w:val="both"/>
        <w:ind w:firstLine="708"/>
        <w:spacing w:line="360" w:lineRule="auto"/>
      </w:pPr>
      <w:r>
        <w:rPr>
          <w:rFonts w:ascii="Times New Roman" w:hAnsi="Times New Roman"/>
          <w:sz w:val="28"/>
        </w:rPr>
        <w:t xml:space="preserve">Совместимость с существующими системами. Поддержка протоколов IEC 61850, Modbus и DNP3 позволяет интегрировать терминалы в существующие системы диспетчерского управления и телемеханики без необходимости замены коммуникационного оборудования. Это снижает затраты на модернизацию и упрощает ввод в эксплуатацию.</w:t>
      </w:r>
    </w:p>
    <w:p>
      <w:pPr>
        <w:jc w:val="both"/>
        <w:ind w:firstLine="708"/>
        <w:spacing w:line="360" w:lineRule="auto"/>
      </w:pPr>
      <w:r>
        <w:rPr>
          <w:rFonts w:ascii="Times New Roman" w:hAnsi="Times New Roman"/>
          <w:sz w:val="28"/>
        </w:rPr>
        <w:t xml:space="preserve">Удобство настройки и эксплуатации. Терминалы оснащены интуитивно понятным интерфейсом на русском языке, что упрощает настройку параметров защиты и анализ зарегистрированных событий. Наличие программного обеспечения для ПК позволяет выполнять предварительную настройку и моделирование работы защиты в офлайн-режиме.</w:t>
      </w:r>
    </w:p>
    <w:p>
      <w:pPr>
        <w:jc w:val="both"/>
        <w:ind w:firstLine="708"/>
        <w:spacing w:line="360" w:lineRule="auto"/>
      </w:pPr>
      <w:r>
        <w:rPr>
          <w:rFonts w:ascii="Times New Roman" w:hAnsi="Times New Roman"/>
          <w:sz w:val="28"/>
        </w:rPr>
        <w:t xml:space="preserve">Экономическая эффективность. Стоимость отечественных терминалов на 30-50% ниже зарубежных аналогов при сопоставимом функционале, что позволяет оптимизировать затраты на проект модернизации. Кроме того, отсутствие валютных рисков и независимость от импортных поставок повышают надежность реализации проекта.</w:t>
      </w:r>
    </w:p>
    <w:p>
      <w:pPr>
        <w:jc w:val="both"/>
        <w:ind w:firstLine="708"/>
        <w:spacing w:line="360" w:lineRule="auto"/>
      </w:pPr>
      <w:r>
        <w:rPr>
          <w:rFonts w:ascii="Times New Roman" w:hAnsi="Times New Roman"/>
          <w:sz w:val="28"/>
        </w:rPr>
        <w:t xml:space="preserve">Техническая поддержка и обслуживание. Производители ЭКРА и РЕЛЕМАТИКА имеют развитую сеть региональных представительств и сервисных центров на территории России, что обеспечивает оперативную техническую поддержку, обучение персонала и гарантийное обслуживание. Доступность запасных частей и возможность быстрого ремонта критичны для минимизации времени простоя оборудования.</w:t>
      </w:r>
    </w:p>
    <w:p>
      <w:pPr>
        <w:jc w:val="both"/>
        <w:ind w:firstLine="708"/>
        <w:spacing w:line="360" w:lineRule="auto"/>
      </w:pPr>
      <w:r>
        <w:rPr>
          <w:rFonts w:ascii="Times New Roman" w:hAnsi="Times New Roman"/>
          <w:sz w:val="28"/>
        </w:rPr>
        <w:t xml:space="preserve">Для конкретной реализации рекомендуется терминал ЭКРА 200.04 или Сириус-3-ОМП-03, которые оптимально сочетают необходимый функционал и стоимость. Эти модели обеспечивают:</w:t>
      </w:r>
    </w:p>
    <w:p>
      <w:pPr>
        <w:ind w:left="708" w:hanging="360"/>
        <w:spacing w:line="360"/>
      </w:pPr>
      <w:r>
        <w:rPr>
          <w:rFonts w:ascii="Times New Roman"/>
          <w:sz w:val="28"/>
        </w:rPr>
        <w:t>• </w:t>
      </w:r>
      <w:r>
        <w:rPr>
          <w:rFonts w:ascii="Times New Roman" w:hAnsi="Times New Roman"/>
          <w:sz w:val="28"/>
        </w:rPr>
        <w:t xml:space="preserve">Четыре токовых входа для подключения трех фазных трансформаторов тока и одного трансформатора тока нулевой последовательности;</w:t>
      </w:r>
    </w:p>
    <w:p>
      <w:pPr>
        <w:ind w:left="708" w:hanging="360"/>
        <w:spacing w:line="360"/>
      </w:pPr>
      <w:r>
        <w:rPr>
          <w:rFonts w:ascii="Times New Roman"/>
          <w:sz w:val="28"/>
        </w:rPr>
        <w:t>• </w:t>
      </w:r>
      <w:r>
        <w:rPr>
          <w:rFonts w:ascii="Times New Roman" w:hAnsi="Times New Roman"/>
          <w:sz w:val="28"/>
        </w:rPr>
        <w:t xml:space="preserve">Четыре входа напряжения для контроля междуфазных и фазных напряжений;</w:t>
      </w:r>
    </w:p>
    <w:p>
      <w:pPr>
        <w:ind w:left="708" w:hanging="360"/>
        <w:spacing w:line="360"/>
      </w:pPr>
      <w:r>
        <w:rPr>
          <w:rFonts w:ascii="Times New Roman"/>
          <w:sz w:val="28"/>
        </w:rPr>
        <w:t>• </w:t>
      </w:r>
      <w:r>
        <w:rPr>
          <w:rFonts w:ascii="Times New Roman" w:hAnsi="Times New Roman"/>
          <w:sz w:val="28"/>
        </w:rPr>
        <w:t xml:space="preserve">Программируемую логику для реализации сложных алгоритмов блокировок и условий срабатывания защиты;</w:t>
      </w:r>
    </w:p>
    <w:p>
      <w:pPr>
        <w:ind w:left="708" w:hanging="360"/>
        <w:spacing w:line="360"/>
      </w:pPr>
      <w:r>
        <w:rPr>
          <w:rFonts w:ascii="Times New Roman"/>
          <w:sz w:val="28"/>
        </w:rPr>
        <w:t>• </w:t>
      </w:r>
      <w:r>
        <w:rPr>
          <w:rFonts w:ascii="Times New Roman" w:hAnsi="Times New Roman"/>
          <w:sz w:val="28"/>
        </w:rPr>
        <w:t xml:space="preserve">Регистрацию до 100-150 аварийных событий с осциллограммами токов и напряжений;</w:t>
      </w:r>
    </w:p>
    <w:p>
      <w:pPr>
        <w:ind w:left="708" w:hanging="360"/>
        <w:spacing w:line="360"/>
      </w:pPr>
      <w:r>
        <w:rPr>
          <w:rFonts w:ascii="Times New Roman"/>
          <w:sz w:val="28"/>
        </w:rPr>
        <w:t>• </w:t>
      </w:r>
      <w:r>
        <w:rPr>
          <w:rFonts w:ascii="Times New Roman" w:hAnsi="Times New Roman"/>
          <w:sz w:val="28"/>
        </w:rPr>
        <w:t xml:space="preserve">Встроенные функции контроля исправности цепей измерения и самодиагностики.</w:t>
      </w:r>
    </w:p>
    <w:p>
      <w:pPr>
        <w:jc w:val="both"/>
        <w:ind w:firstLine="708"/>
        <w:spacing w:line="360" w:lineRule="auto"/>
      </w:pPr>
      <w:r>
        <w:rPr>
          <w:rFonts w:ascii="Times New Roman" w:hAnsi="Times New Roman"/>
          <w:sz w:val="28"/>
        </w:rPr>
        <w:t xml:space="preserve">Применение выбранного терминала позволит повысить надежность электроснабжения двигательной нагрузки за счет точной настройки параметров защиты, сократить время локализации повреждений благодаря детальной регистрации аварийных событий, а также обеспечить возможность удаленного мониторинга и управления режимами работы фидера. Интеграция терминала в систему диспетчерского управления создаст основу для дальнейшего развития интеллектуальных функций управления распределительной сетью</w:t>
      </w:r>
      <w:hyperlink w:anchor="_Source_6">
        <w:r>
          <w:rPr>
            <w:rFonts w:ascii="Times New Roman" w:hAnsi="Times New Roman"/>
            <w:sz w:val="28"/>
            <w:rStyle w:val="Hyperlink"/>
          </w:rPr>
          <w:t>[6]</w:t>
        </w:r>
      </w:hyperlink>
      <w:hyperlink w:anchor="_Source_8">
        <w:r>
          <w:rPr>
            <w:rFonts w:ascii="Times New Roman" w:hAnsi="Times New Roman"/>
            <w:sz w:val="28"/>
            <w:rStyle w:val="Hyperlink"/>
          </w:rPr>
          <w:t>[8]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Модернизация релейной защиты фидера 10 кВ с двигательной нагрузкой требует применения современных микропроцессорных устройств, обеспечивающих высокую надёжность, селективность и адаптивность к изменяющимся режимам работы сети. Цифровые терминалы защиты позволяют реализовать комплексные алгоритмы, включая мгновенную токовую отсечку, максимальную токовую защиту с зависимыми характеристиками, защиту от замыканий на землю и функции автоматического повторного включения</w:t>
      </w:r>
      <w:hyperlink w:anchor="_Source_6">
        <w:r>
          <w:rPr>
            <w:rFonts w:ascii="Times New Roman" w:hAnsi="Times New Roman"/>
            <w:sz w:val="28"/>
            <w:rStyle w:val="Hyperlink"/>
          </w:rPr>
          <w:t>[6]</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Технические характеристики выбранного устройства РЗА</w:t>
      </w:r>
    </w:p>
    <w:p>
      <w:pPr>
        <w:jc w:val="both"/>
        <w:ind w:firstLine="708"/>
        <w:spacing w:line="360" w:lineRule="auto"/>
      </w:pPr>
      <w:r>
        <w:rPr>
          <w:rFonts w:ascii="Times New Roman" w:hAnsi="Times New Roman"/>
          <w:sz w:val="28"/>
        </w:rPr>
        <w:t xml:space="preserve">Для защиты фидера 10 кВ целесообразно применение многофункционального терминала, реализующего функции ANSI 50, 51, 27, 59, 67 и 21</w:t>
      </w:r>
      <w:hyperlink w:anchor="_Source_6">
        <w:r>
          <w:rPr>
            <w:rFonts w:ascii="Times New Roman" w:hAnsi="Times New Roman"/>
            <w:sz w:val="28"/>
            <w:rStyle w:val="Hyperlink"/>
          </w:rPr>
          <w:t>[6]</w:t>
        </w:r>
      </w:hyperlink>
      <w:r>
        <w:rPr>
          <w:rFonts w:ascii="Times New Roman" w:hAnsi="Times New Roman"/>
          <w:sz w:val="28"/>
        </w:rPr>
        <w:t xml:space="preserve">. Устройство должно обеспечивать:</w:t>
      </w:r>
    </w:p>
    <w:p>
      <w:pPr>
        <w:ind w:left="708" w:hanging="360"/>
        <w:spacing w:line="360"/>
      </w:pPr>
      <w:r>
        <w:rPr>
          <w:rFonts w:ascii="Times New Roman"/>
          <w:sz w:val="28"/>
        </w:rPr>
        <w:t>• </w:t>
      </w:r>
      <w:r>
        <w:rPr>
          <w:rFonts w:ascii="Times New Roman" w:hAnsi="Times New Roman"/>
          <w:sz w:val="28"/>
        </w:rPr>
        <w:t xml:space="preserve">Диапазон измерения токов от номинального до 40-кратного значения с погрешностью не более 5%;</w:t>
      </w:r>
    </w:p>
    <w:p>
      <w:pPr>
        <w:ind w:left="708" w:hanging="360"/>
        <w:spacing w:line="360"/>
      </w:pPr>
      <w:r>
        <w:rPr>
          <w:rFonts w:ascii="Times New Roman"/>
          <w:sz w:val="28"/>
        </w:rPr>
        <w:t>• </w:t>
      </w:r>
      <w:r>
        <w:rPr>
          <w:rFonts w:ascii="Times New Roman" w:hAnsi="Times New Roman"/>
          <w:sz w:val="28"/>
        </w:rPr>
        <w:t xml:space="preserve">Время срабатывания мгновенной защиты не более 20-40 мс</w:t>
      </w:r>
      <w:hyperlink w:anchor="_Source_6">
        <w:r>
          <w:rPr>
            <w:rFonts w:ascii="Times New Roman" w:hAnsi="Times New Roman"/>
            <w:sz w:val="28"/>
            <w:rStyle w:val="Hyperlink"/>
          </w:rPr>
          <w:t>[6]</w:t>
        </w:r>
      </w:hyperlink>
      <w:r>
        <w:rPr>
          <w:rFonts w:ascii="Times New Roman" w:hAnsi="Times New Roman"/>
          <w:sz w:val="28"/>
        </w:rPr>
        <w:t xml:space="preserve">;</w:t>
      </w:r>
    </w:p>
    <w:p>
      <w:pPr>
        <w:ind w:left="708" w:hanging="360"/>
        <w:spacing w:line="360"/>
      </w:pPr>
      <w:r>
        <w:rPr>
          <w:rFonts w:ascii="Times New Roman"/>
          <w:sz w:val="28"/>
        </w:rPr>
        <w:t>• </w:t>
      </w:r>
      <w:r>
        <w:rPr>
          <w:rFonts w:ascii="Times New Roman" w:hAnsi="Times New Roman"/>
          <w:sz w:val="28"/>
        </w:rPr>
        <w:t xml:space="preserve">Поддержку протокола IEC 61850 для интеграции в АСУТП</w:t>
      </w:r>
      <w:hyperlink w:anchor="_Source_6">
        <w:r>
          <w:rPr>
            <w:rFonts w:ascii="Times New Roman" w:hAnsi="Times New Roman"/>
            <w:sz w:val="28"/>
            <w:rStyle w:val="Hyperlink"/>
          </w:rPr>
          <w:t>[6]</w:t>
        </w:r>
      </w:hyperlink>
      <w:r>
        <w:rPr>
          <w:rFonts w:ascii="Times New Roman" w:hAnsi="Times New Roman"/>
          <w:sz w:val="28"/>
        </w:rPr>
        <w:t xml:space="preserve">;</w:t>
      </w:r>
    </w:p>
    <w:p>
      <w:pPr>
        <w:ind w:left="708" w:hanging="360"/>
        <w:spacing w:line="360"/>
      </w:pPr>
      <w:r>
        <w:rPr>
          <w:rFonts w:ascii="Times New Roman"/>
          <w:sz w:val="28"/>
        </w:rPr>
        <w:t>• </w:t>
      </w:r>
      <w:r>
        <w:rPr>
          <w:rFonts w:ascii="Times New Roman" w:hAnsi="Times New Roman"/>
          <w:sz w:val="28"/>
        </w:rPr>
        <w:t xml:space="preserve">Встроенные алгоритмы оценки фазоров с точностью более 90%</w:t>
      </w:r>
      <w:hyperlink w:anchor="_Source_6">
        <w:r>
          <w:rPr>
            <w:rFonts w:ascii="Times New Roman" w:hAnsi="Times New Roman"/>
            <w:sz w:val="28"/>
            <w:rStyle w:val="Hyperlink"/>
          </w:rPr>
          <w:t>[6]</w:t>
        </w:r>
      </w:hyperlink>
      <w:r>
        <w:rPr>
          <w:rFonts w:ascii="Times New Roman" w:hAnsi="Times New Roman"/>
          <w:sz w:val="28"/>
        </w:rPr>
        <w:t xml:space="preserve">;</w:t>
      </w:r>
    </w:p>
    <w:p>
      <w:pPr>
        <w:ind w:left="708" w:hanging="360"/>
        <w:spacing w:line="360"/>
      </w:pPr>
      <w:r>
        <w:rPr>
          <w:rFonts w:ascii="Times New Roman"/>
          <w:sz w:val="28"/>
        </w:rPr>
        <w:t>• </w:t>
      </w:r>
      <w:r>
        <w:rPr>
          <w:rFonts w:ascii="Times New Roman" w:hAnsi="Times New Roman"/>
          <w:sz w:val="28"/>
        </w:rPr>
        <w:t xml:space="preserve">Возможность адаптации уставок в зависимости от топологии сети и режима работы</w:t>
      </w:r>
      <w:hyperlink w:anchor="_Source_7">
        <w:r>
          <w:rPr>
            <w:rFonts w:ascii="Times New Roman" w:hAnsi="Times New Roman"/>
            <w:sz w:val="28"/>
            <w:rStyle w:val="Hyperlink"/>
          </w:rPr>
          <w:t>[7]</w:t>
        </w:r>
      </w:hyperlink>
      <w:hyperlink w:anchor="_Source_8">
        <w:r>
          <w:rPr>
            <w:rFonts w:ascii="Times New Roman" w:hAnsi="Times New Roman"/>
            <w:sz w:val="28"/>
            <w:rStyle w:val="Hyperlink"/>
          </w:rPr>
          <w:t>[8]</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Современные терминалы используют графовые нейронные сети для анализа предаварийных режимов, что сокращает время расчёта уставок в 10-1000 раз по сравнению с традиционными методами</w:t>
      </w:r>
      <w:hyperlink w:anchor="_Source_8">
        <w:r>
          <w:rPr>
            <w:rFonts w:ascii="Times New Roman" w:hAnsi="Times New Roman"/>
            <w:sz w:val="28"/>
            <w:rStyle w:val="Hyperlink"/>
          </w:rPr>
          <w:t>[8]</w:t>
        </w:r>
      </w:hyperlink>
      <w:r>
        <w:rPr>
          <w:rFonts w:ascii="Times New Roman" w:hAnsi="Times New Roman"/>
          <w:sz w:val="28"/>
        </w:rPr>
        <w:t xml:space="preserve">. Виртуализация функций защиты на базе серверных платформ открывает перспективы централизованного управления и снижения эксплуатационных затрат</w:t>
      </w:r>
      <w:hyperlink w:anchor="_Source_6">
        <w:r>
          <w:rPr>
            <w:rFonts w:ascii="Times New Roman" w:hAnsi="Times New Roman"/>
            <w:sz w:val="28"/>
            <w:rStyle w:val="Hyperlink"/>
          </w:rPr>
          <w:t>[6]</w:t>
        </w:r>
      </w:hyperlink>
      <w:r>
        <w:rPr>
          <w:rFonts w:ascii="Times New Roman" w:hAnsi="Times New Roman"/>
          <w:sz w:val="28"/>
        </w:rPr>
        <w:t xml:space="preserve">.</w:t>
      </w:r>
    </w:p>
    <w:p>
      <w:r>
        <w:t/>
      </w:r>
    </w:p>
    <w:p>
      <w:pPr>
        <w:pStyle w:val="Heading1"/>
        <w:jc w:val="center"/>
        <w:spacing w:before="240" w:after="240"/>
      </w:pPr>
      <w:r>
        <w:rPr>
          <w:rFonts w:ascii="Times New Roman" w:hAnsi="Times New Roman"/>
          <w:b/>
          <w:sz w:val="28"/>
        </w:rPr>
        <w:t xml:space="preserve">РАСЧЕТ УСТАВОК РЕЛЕЙНОЙ ЗАЩИТЫ ФИДЕРА 10 КВ</w:t>
      </w:r>
    </w:p>
    <w:p>
      <w:pPr>
        <w:jc w:val="both"/>
        <w:ind w:firstLine="708"/>
        <w:spacing w:line="360" w:lineRule="auto"/>
      </w:pPr>
      <w:r>
        <w:rPr>
          <w:rFonts w:ascii="Times New Roman" w:hAnsi="Times New Roman"/>
          <w:sz w:val="28"/>
        </w:rPr>
        <w:t xml:space="preserve">Расчет уставок релейной защиты является ключевым этапом проектирования системы защиты фидера 10 кВ с двигательной нагрузкой. Правильно выбранные уставки обеспечивают надежное отключение при внутренних повреждениях, сохраняя при этом устойчивость к внешним возмущениям и режимам самозапуска электродвигателей. Современные цифровые реле позволяют реализовать многоступенчатую защиту с гибкими характеристиками срабатывания</w:t>
      </w:r>
      <w:hyperlink w:anchor="_Source_12">
        <w:r>
          <w:rPr>
            <w:rFonts w:ascii="Times New Roman" w:hAnsi="Times New Roman"/>
            <w:sz w:val="28"/>
            <w:rStyle w:val="Hyperlink"/>
          </w:rPr>
          <w:t>[12]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Основными защитами фидера 10 кВ являются максимальная токовая защита (МТЗ), токовая отсечка (ТО) и защита от перегрузки. Каждая из этих функций имеет специфические требования к параметрам срабатывания, которые определяются режимами работы сети и характеристиками подключенного оборудования. Расчет уставок должен учитывать селективность с защитами смежных элементов, чувствительность к повреждениям в защищаемой зоне, а также устойчивость к бросками токов намагничивания и пусковым токам двигателей</w:t>
      </w:r>
      <w:hyperlink w:anchor="_Source_10">
        <w:r>
          <w:rPr>
            <w:rFonts w:ascii="Times New Roman" w:hAnsi="Times New Roman"/>
            <w:sz w:val="28"/>
            <w:rStyle w:val="Hyperlink"/>
          </w:rPr>
          <w:t>[10]</w:t>
        </w:r>
      </w:hyperlink>
      <w:hyperlink w:anchor="_Source_12">
        <w:r>
          <w:rPr>
            <w:rFonts w:ascii="Times New Roman" w:hAnsi="Times New Roman"/>
            <w:sz w:val="28"/>
            <w:rStyle w:val="Hyperlink"/>
          </w:rPr>
          <w:t>[12]</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Расчет уставок максимальной токовой защиты</w:t>
      </w:r>
    </w:p>
    <w:p>
      <w:pPr>
        <w:jc w:val="both"/>
        <w:ind w:firstLine="708"/>
        <w:spacing w:line="360" w:lineRule="auto"/>
      </w:pPr>
      <w:r>
        <w:rPr>
          <w:rFonts w:ascii="Times New Roman" w:hAnsi="Times New Roman"/>
          <w:sz w:val="28"/>
        </w:rPr>
        <w:t xml:space="preserve">Максимальная токовая защита является основной защитой фидера от междуфазных коротких замыканий и перегрузок. Для фидера с двигательной нагрузкой расчет уставок МТЗ имеет особенности, связанные с необходимостью отстройки от токов самозапуска электродвигателей после кратковременных перерывов питания.</w:t>
      </w:r>
    </w:p>
    <w:p>
      <w:pPr>
        <w:jc w:val="both"/>
        <w:ind w:firstLine="708"/>
        <w:spacing w:line="360" w:lineRule="auto"/>
      </w:pPr>
      <w:r>
        <w:rPr>
          <w:rFonts w:ascii="Times New Roman" w:hAnsi="Times New Roman"/>
          <w:sz w:val="28"/>
        </w:rPr>
        <w:t xml:space="preserve">Ток срабатывания МТЗ определяется по условиям отстройки от максимального рабочего тока фидера с учетом коэффициентов надежности и возврата реле:</w:t>
      </w:r>
    </w:p>
    <w:p>
      <w:pPr>
        <w:jc w:val="both"/>
        <w:ind w:firstLine="708"/>
        <w:spacing w:line="360" w:lineRule="auto"/>
      </w:pPr>
      <w:r>
        <w:rPr>
          <w:rFonts w:ascii="Times New Roman" w:hAnsi="Times New Roman"/>
          <w:sz w:val="28"/>
        </w:rPr>
        <w:t xml:space="preserve">I_сз = (K_н × K_сзп × I_раб.макс) / (K_в × K_сх)</w:t>
      </w:r>
    </w:p>
    <w:p>
      <w:pPr>
        <w:jc w:val="both"/>
        <w:ind w:firstLine="708"/>
        <w:spacing w:line="360" w:lineRule="auto"/>
      </w:pPr>
      <w:r>
        <w:rPr>
          <w:rFonts w:ascii="Times New Roman" w:hAnsi="Times New Roman"/>
          <w:sz w:val="28"/>
        </w:rPr>
        <w:t xml:space="preserve">где K_н – коэффициент надежности (принимается 1,1–1,2 для цифровых реле); K_сзп – коэффициент самозапуска двигателей (1,5–3,0 в зависимости от состава нагрузки); I_раб.макс – максимальный рабочий ток фидера; K_в – коэффициент возврата реле (0,95–0,98 для современных устройств); K_сх – коэффициент схемы (1 для полной звезды, √3 для неполной звезды)</w:t>
      </w:r>
      <w:hyperlink w:anchor="_Source_12">
        <w:r>
          <w:rPr>
            <w:rFonts w:ascii="Times New Roman" w:hAnsi="Times New Roman"/>
            <w:sz w:val="28"/>
            <w:rStyle w:val="Hyperlink"/>
          </w:rPr>
          <w:t>[12]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фидера с преобладающей двигательной нагрузкой критическим является режим самозапуска после кратковременного перерыва питания. В этом случае все двигатели одновременно потребляют пусковые токи, которые могут в 5–7 раз превышать номинальные значения. Коэффициент самозапуска K_сзп выбирается на основе анализа состава нагрузки и вероятности одновременного пуска всех электродвигателей. Для ответственных фидеров с мощными синхронными и асинхронными двигателями рекомендуется принимать K_сзп = 2,5–3,0</w:t>
      </w:r>
      <w:hyperlink w:anchor="_Source_12">
        <w:r>
          <w:rPr>
            <w:rFonts w:ascii="Times New Roman" w:hAnsi="Times New Roman"/>
            <w:sz w:val="28"/>
            <w:rStyle w:val="Hyperlink"/>
          </w:rPr>
          <w:t>[12]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Проверка чувствительности МТЗ выполняется для минимального режима работы системы при двухфазном коротком замыкании в конце защищаемой зоны:</w:t>
      </w:r>
    </w:p>
    <w:p>
      <w:pPr>
        <w:jc w:val="both"/>
        <w:ind w:firstLine="708"/>
        <w:spacing w:line="360" w:lineRule="auto"/>
      </w:pPr>
      <w:r>
        <w:rPr>
          <w:rFonts w:ascii="Times New Roman" w:hAnsi="Times New Roman"/>
          <w:sz w:val="28"/>
        </w:rPr>
        <w:t xml:space="preserve">K_ч = I_кз.мин / I_сз ≥ 1,5</w:t>
      </w:r>
    </w:p>
    <w:p>
      <w:pPr>
        <w:jc w:val="both"/>
        <w:ind w:firstLine="708"/>
        <w:spacing w:line="360" w:lineRule="auto"/>
      </w:pPr>
      <w:r>
        <w:rPr>
          <w:rFonts w:ascii="Times New Roman" w:hAnsi="Times New Roman"/>
          <w:sz w:val="28"/>
        </w:rPr>
        <w:t xml:space="preserve">где I_кз.мин – минимальный ток двухфазного короткого замыкания в конце зоны; коэффициент чувствительности K_ч должен быть не менее 1,5 для основной защиты согласно требованиям ПУЭ. При недостаточной чувствительности МТЗ необходимо применение дополнительных защит, например, направленной токовой защиты или дистанционной защиты</w:t>
      </w:r>
      <w:hyperlink w:anchor="_Source_10">
        <w:r>
          <w:rPr>
            <w:rFonts w:ascii="Times New Roman" w:hAnsi="Times New Roman"/>
            <w:sz w:val="28"/>
            <w:rStyle w:val="Hyperlink"/>
          </w:rPr>
          <w:t>[10]</w:t>
        </w:r>
      </w:hyperlink>
      <w:hyperlink w:anchor="_Source_12">
        <w:r>
          <w:rPr>
            <w:rFonts w:ascii="Times New Roman" w:hAnsi="Times New Roman"/>
            <w:sz w:val="28"/>
            <w:rStyle w:val="Hyperlink"/>
          </w:rPr>
          <w:t>[12]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Время срабатывания МТЗ выбирается по условию селективности с защитами последующих элементов:</w:t>
      </w:r>
    </w:p>
    <w:p>
      <w:pPr>
        <w:jc w:val="both"/>
        <w:ind w:firstLine="708"/>
        <w:spacing w:line="360" w:lineRule="auto"/>
      </w:pPr>
      <w:r>
        <w:rPr>
          <w:rFonts w:ascii="Times New Roman" w:hAnsi="Times New Roman"/>
          <w:sz w:val="28"/>
        </w:rPr>
        <w:t xml:space="preserve">t_МТЗ = t_посл + Δt</w:t>
      </w:r>
    </w:p>
    <w:p>
      <w:pPr>
        <w:jc w:val="both"/>
        <w:ind w:firstLine="708"/>
        <w:spacing w:line="360" w:lineRule="auto"/>
      </w:pPr>
      <w:r>
        <w:rPr>
          <w:rFonts w:ascii="Times New Roman" w:hAnsi="Times New Roman"/>
          <w:sz w:val="28"/>
        </w:rPr>
        <w:t xml:space="preserve">где t_посл – время срабатывания защиты последующего элемента; Δt – ступень селективности (0,3–0,5 с для электромеханических реле, 0,15–0,3 с для цифровых устройств). Для обеспечения селективности при каскадном отключении необходимо учитывать все возможные пути протекания токов короткого замыкания и координировать уставки с защитами смежных фидеров</w:t>
      </w:r>
      <w:hyperlink w:anchor="_Source_12">
        <w:r>
          <w:rPr>
            <w:rFonts w:ascii="Times New Roman" w:hAnsi="Times New Roman"/>
            <w:sz w:val="28"/>
            <w:rStyle w:val="Hyperlink"/>
          </w:rPr>
          <w:t>[12]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Современные цифровые реле позволяют реализовать зависимые время-токовые характеристики МТЗ, которые обеспечивают более быстрое отключение при больших токах повреждения. Типовые характеристики включают нормально инверсную, очень инверсную и чрезвычайно инверсную зависимости. Выбор характеристики определяется требованиями селективности и необходимостью ограничения термического воздействия токов короткого замыкания на оборудование</w:t>
      </w:r>
      <w:hyperlink w:anchor="_Source_12">
        <w:r>
          <w:rPr>
            <w:rFonts w:ascii="Times New Roman" w:hAnsi="Times New Roman"/>
            <w:sz w:val="28"/>
            <w:rStyle w:val="Hyperlink"/>
          </w:rPr>
          <w:t>[12]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фидеров с распределенной генерацией или двусторонним питанием необходимо применение направленной МТЗ, которая реагирует только на токи, протекающие в направлении защищаемой зоны. Угол максимальной чувствительности направленного органа выбирается с учетом характера нагрузки и параметров сети, обычно составляя 30–45° для индуктивных цепей</w:t>
      </w:r>
      <w:hyperlink w:anchor="_Source_10">
        <w:r>
          <w:rPr>
            <w:rFonts w:ascii="Times New Roman" w:hAnsi="Times New Roman"/>
            <w:sz w:val="28"/>
            <w:rStyle w:val="Hyperlink"/>
          </w:rPr>
          <w:t>[10]</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Расчет уставок токовой отсечки</w:t>
      </w:r>
    </w:p>
    <w:p>
      <w:pPr>
        <w:jc w:val="both"/>
        <w:ind w:firstLine="708"/>
        <w:spacing w:line="360" w:lineRule="auto"/>
      </w:pPr>
      <w:r>
        <w:rPr>
          <w:rFonts w:ascii="Times New Roman" w:hAnsi="Times New Roman"/>
          <w:sz w:val="28"/>
        </w:rPr>
        <w:t xml:space="preserve">Токовая отсечка обеспечивает быстрое отключение при больших токах короткого замыкания в начале защищаемого фидера без выдержки времени. Для фидера с двигательной нагрузкой расчет уставок ТО требует тщательной отстройки от бросков пусковых токов и токов самозапуска.</w:t>
      </w:r>
    </w:p>
    <w:p>
      <w:pPr>
        <w:jc w:val="both"/>
        <w:ind w:firstLine="708"/>
        <w:spacing w:line="360" w:lineRule="auto"/>
      </w:pPr>
      <w:r>
        <w:rPr>
          <w:rFonts w:ascii="Times New Roman" w:hAnsi="Times New Roman"/>
          <w:sz w:val="28"/>
        </w:rPr>
        <w:t xml:space="preserve">Ток срабатывания токовой отсечки без выдержки времени (ТО-1) определяется по условию отстройки от максимального тока короткого замыкания в конце защищаемой зоны или на шинах подстанции следующего уровня:</w:t>
      </w:r>
    </w:p>
    <w:p>
      <w:pPr>
        <w:jc w:val="both"/>
        <w:ind w:firstLine="708"/>
        <w:spacing w:line="360" w:lineRule="auto"/>
      </w:pPr>
      <w:r>
        <w:rPr>
          <w:rFonts w:ascii="Times New Roman" w:hAnsi="Times New Roman"/>
          <w:sz w:val="28"/>
        </w:rPr>
        <w:t xml:space="preserve">I_то1 = K_отс × I_кз.макс</w:t>
      </w:r>
    </w:p>
    <w:p>
      <w:pPr>
        <w:jc w:val="both"/>
        <w:ind w:firstLine="708"/>
        <w:spacing w:line="360" w:lineRule="auto"/>
      </w:pPr>
      <w:r>
        <w:rPr>
          <w:rFonts w:ascii="Times New Roman" w:hAnsi="Times New Roman"/>
          <w:sz w:val="28"/>
        </w:rPr>
        <w:t xml:space="preserve">где K_отс – коэффициент отстройки (1,2–1,4 для цифровых реле); I_кз.макс – максимальный ток трехфазного короткого замыкания в точке отстройки. Зона действия ТО-1 обычно составляет 15–20% длины линии для воздушных линий и 50–85% для кабельных линий в зависимости от соотношения сопротивлений системы и линии</w:t>
      </w:r>
      <w:hyperlink w:anchor="_Source_12">
        <w:r>
          <w:rPr>
            <w:rFonts w:ascii="Times New Roman" w:hAnsi="Times New Roman"/>
            <w:sz w:val="28"/>
            <w:rStyle w:val="Hyperlink"/>
          </w:rPr>
          <w:t>[12]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увеличения зоны действия быстродействующей защиты применяется токовая отсечка с выдержкой времени (ТО-2), которая отстраивается от тока короткого замыкания на шинах противоположной подстанции:</w:t>
      </w:r>
    </w:p>
    <w:p>
      <w:pPr>
        <w:jc w:val="both"/>
        <w:ind w:firstLine="708"/>
        <w:spacing w:line="360" w:lineRule="auto"/>
      </w:pPr>
      <w:r>
        <w:rPr>
          <w:rFonts w:ascii="Times New Roman" w:hAnsi="Times New Roman"/>
          <w:sz w:val="28"/>
        </w:rPr>
        <w:t xml:space="preserve">I_то2 = K_отс × I_кз.шины</w:t>
      </w:r>
    </w:p>
    <w:p>
      <w:pPr>
        <w:jc w:val="both"/>
        <w:ind w:firstLine="708"/>
        <w:spacing w:line="360" w:lineRule="auto"/>
      </w:pPr>
      <w:r>
        <w:rPr>
          <w:rFonts w:ascii="Times New Roman" w:hAnsi="Times New Roman"/>
          <w:sz w:val="28"/>
        </w:rPr>
        <w:t xml:space="preserve">Выдержка времени ТО-2 выбирается на ступень селективности больше, чем время срабатывания защит отходящих присоединений: t_ТО2 = t_отх + Δt. Типовое значение выдержки времени составляет 0,3–0,6 с для обеспечения селективности с защитами трансформаторов и отходящих линий</w:t>
      </w:r>
      <w:hyperlink w:anchor="_Source_12">
        <w:r>
          <w:rPr>
            <w:rFonts w:ascii="Times New Roman" w:hAnsi="Times New Roman"/>
            <w:sz w:val="28"/>
            <w:rStyle w:val="Hyperlink"/>
          </w:rPr>
          <w:t>[12]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При наличии на фидере мощных электродвигателей необходима дополнительная проверка отстройки ТО от апериодической составляющей пускового тока. Апериодическая составляющая может достигать 50–100% от амплитуды периодической составляющей и медленно затухает с постоянной времени 0,05–0,15 с. Для надежной отстройки от бросков тока при пуске двигателей коэффициент отстройки K_отс следует увеличить до 1,5–1,8</w:t>
      </w:r>
      <w:hyperlink w:anchor="_Source_10">
        <w:r>
          <w:rPr>
            <w:rFonts w:ascii="Times New Roman" w:hAnsi="Times New Roman"/>
            <w:sz w:val="28"/>
            <w:rStyle w:val="Hyperlink"/>
          </w:rPr>
          <w:t>[10]</w:t>
        </w:r>
      </w:hyperlink>
      <w:hyperlink w:anchor="_Source_12">
        <w:r>
          <w:rPr>
            <w:rFonts w:ascii="Times New Roman" w:hAnsi="Times New Roman"/>
            <w:sz w:val="28"/>
            <w:rStyle w:val="Hyperlink"/>
          </w:rPr>
          <w:t>[12]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Проверка чувствительности ТО выполняется для металлических коротких замыканий в начале защищаемой зоны:</w:t>
      </w:r>
    </w:p>
    <w:p>
      <w:pPr>
        <w:jc w:val="both"/>
        <w:ind w:firstLine="708"/>
        <w:spacing w:line="360" w:lineRule="auto"/>
      </w:pPr>
      <w:r>
        <w:rPr>
          <w:rFonts w:ascii="Times New Roman" w:hAnsi="Times New Roman"/>
          <w:sz w:val="28"/>
        </w:rPr>
        <w:t xml:space="preserve">K_ч.то = I_кз.нач / I_то ≥ 1,2</w:t>
      </w:r>
    </w:p>
    <w:p>
      <w:pPr>
        <w:jc w:val="both"/>
        <w:ind w:firstLine="708"/>
        <w:spacing w:line="360" w:lineRule="auto"/>
      </w:pPr>
      <w:r>
        <w:rPr>
          <w:rFonts w:ascii="Times New Roman" w:hAnsi="Times New Roman"/>
          <w:sz w:val="28"/>
        </w:rPr>
        <w:t xml:space="preserve">где I_кз.нач – ток трехфазного короткого замыкания в начале линии; минимальный коэффициент чувствительности составляет 1,2 для отсечки без выдержки времени и 1,5 для отсечки с выдержкой времени. При недостаточной чувствительности рекомендуется использование дополнительных ступеней защиты или применение дистанционной защиты</w:t>
      </w:r>
      <w:hyperlink w:anchor="_Source_12">
        <w:r>
          <w:rPr>
            <w:rFonts w:ascii="Times New Roman" w:hAnsi="Times New Roman"/>
            <w:sz w:val="28"/>
            <w:rStyle w:val="Hyperlink"/>
          </w:rPr>
          <w:t>[12]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сетей с изолированной нейтралью или компенсацией емкостных токов необходим учет влияния переходного сопротивления в месте повреждения. При однофазных замыканиях на землю через дугу переходное сопротивление может достигать 3000–5000 Ом, что существенно снижает ток повреждения и может привести к отказу токовых защит. В таких случаях целесообразно применение защит, реагирующих на напряжение нулевой последовательности</w:t>
      </w:r>
      <w:hyperlink w:anchor="_Source_10">
        <w:r>
          <w:rPr>
            <w:rFonts w:ascii="Times New Roman" w:hAnsi="Times New Roman"/>
            <w:sz w:val="28"/>
            <w:rStyle w:val="Hyperlink"/>
          </w:rPr>
          <w:t>[10]</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Современные микропроцессорные реле позволяют реализовать адаптивные алгоритмы токовой отсечки, которые автоматически изменяют уставки в зависимости от режима работы сети. Например, при отключении параллельной линии или изменении конфигурации сети уставки ТО могут быть скорректированы для сохранения требуемой зоны действия и селективности</w:t>
      </w:r>
      <w:hyperlink w:anchor="_Source_12">
        <w:r>
          <w:rPr>
            <w:rFonts w:ascii="Times New Roman" w:hAnsi="Times New Roman"/>
            <w:sz w:val="28"/>
            <w:rStyle w:val="Hyperlink"/>
          </w:rPr>
          <w:t>[12]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фидеров с двусторонним питанием или наличием распределенной генерации применяется направленная токовая отсечка, которая блокируется при протекании тока в обратном направлении. Это предотвращает неселективное отключение при внешних коротких замыканиях и обеспечивает правильную работу защиты при различных режимах работы сети</w:t>
      </w:r>
      <w:hyperlink w:anchor="_Source_10">
        <w:r>
          <w:rPr>
            <w:rFonts w:ascii="Times New Roman" w:hAnsi="Times New Roman"/>
            <w:sz w:val="28"/>
            <w:rStyle w:val="Hyperlink"/>
          </w:rPr>
          <w:t>[10]</w:t>
        </w:r>
      </w:hyperlink>
      <w:hyperlink w:anchor="_Source_12">
        <w:r>
          <w:rPr>
            <w:rFonts w:ascii="Times New Roman" w:hAnsi="Times New Roman"/>
            <w:sz w:val="28"/>
            <w:rStyle w:val="Hyperlink"/>
          </w:rPr>
          <w:t>[12]</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Расчет уставок защиты от перегрузки</w:t>
      </w:r>
    </w:p>
    <w:p>
      <w:pPr>
        <w:jc w:val="both"/>
        <w:ind w:firstLine="708"/>
        <w:spacing w:line="360" w:lineRule="auto"/>
      </w:pPr>
      <w:r>
        <w:rPr>
          <w:rFonts w:ascii="Times New Roman" w:hAnsi="Times New Roman"/>
          <w:sz w:val="28"/>
        </w:rPr>
        <w:t xml:space="preserve">Защита от перегрузки предназначена для предотвращения недопустимого нагрева токоведущих частей и изоляции кабеля при длительном превышении номинального тока. Для фидера с двигательной нагрузкой защита от перегрузки должна быть отстроена от длительно допустимого тока кабеля с учетом условий его прокладки и температуры окружающей среды.</w:t>
      </w:r>
    </w:p>
    <w:p>
      <w:pPr>
        <w:jc w:val="both"/>
        <w:ind w:firstLine="708"/>
        <w:spacing w:line="360" w:lineRule="auto"/>
      </w:pPr>
      <w:r>
        <w:rPr>
          <w:rFonts w:ascii="Times New Roman" w:hAnsi="Times New Roman"/>
          <w:sz w:val="28"/>
        </w:rPr>
        <w:t xml:space="preserve">Ток срабатывания защиты от перегрузки выбирается из условия:</w:t>
      </w:r>
    </w:p>
    <w:p>
      <w:pPr>
        <w:jc w:val="both"/>
        <w:ind w:firstLine="708"/>
        <w:spacing w:line="360" w:lineRule="auto"/>
      </w:pPr>
      <w:r>
        <w:rPr>
          <w:rFonts w:ascii="Times New Roman" w:hAnsi="Times New Roman"/>
          <w:sz w:val="28"/>
        </w:rPr>
        <w:t xml:space="preserve">I_пер = K_отс.пер × I_доп</w:t>
      </w:r>
    </w:p>
    <w:p>
      <w:pPr>
        <w:jc w:val="both"/>
        <w:ind w:firstLine="708"/>
        <w:spacing w:line="360" w:lineRule="auto"/>
      </w:pPr>
      <w:r>
        <w:rPr>
          <w:rFonts w:ascii="Times New Roman" w:hAnsi="Times New Roman"/>
          <w:sz w:val="28"/>
        </w:rPr>
        <w:t xml:space="preserve">где K_отс.пер – коэффициент отстройки (1,05–1,1); I_доп – длительно допустимый ток кабеля с учетом условий прокладки и температуры окружающей среды. Длительно допустимый ток определяется по справочным таблицам с применением поправочных коэффициентов на температуру окружающей среды, способ прокладки и количество работающих кабелей в группе</w:t>
      </w:r>
      <w:hyperlink w:anchor="_Source_12">
        <w:r>
          <w:rPr>
            <w:rFonts w:ascii="Times New Roman" w:hAnsi="Times New Roman"/>
            <w:sz w:val="28"/>
            <w:rStyle w:val="Hyperlink"/>
          </w:rPr>
          <w:t>[12]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Выдержка времени защиты от перегрузки выбирается исходя из термической стойкости кабеля и необходимости обеспечения селективности с защитами отходящих присоединений. Типовое значение выдержки времени составляет 6–9 с, что обеспечивает отстройку от кратковременных перегрузок при пуске электродвигателей и позволяет защитам нижестоящих уровней отключить поврежденный участок</w:t>
      </w:r>
      <w:hyperlink w:anchor="_Source_12">
        <w:r>
          <w:rPr>
            <w:rFonts w:ascii="Times New Roman" w:hAnsi="Times New Roman"/>
            <w:sz w:val="28"/>
            <w:rStyle w:val="Hyperlink"/>
          </w:rPr>
          <w:t>[12]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более точной оценки термического состояния кабеля современные цифровые реле позволяют реализовать тепловую модель защищаемого объекта. Тепловая модель учитывает тепловую инерцию кабеля и рассчитывает эквивалентную температуру изоляции на основе интеграла квадрата тока нагрузки:</w:t>
      </w:r>
    </w:p>
    <w:p>
      <w:pPr>
        <w:jc w:val="both"/>
        <w:ind w:firstLine="708"/>
        <w:spacing w:line="360" w:lineRule="auto"/>
      </w:pPr>
      <w:r>
        <w:rPr>
          <w:rFonts w:ascii="Times New Roman" w:hAnsi="Times New Roman"/>
          <w:sz w:val="28"/>
        </w:rPr>
        <w:t xml:space="preserve">θ = θ_окр + (I² × R_т) / (1 + τ × p)</w:t>
      </w:r>
    </w:p>
    <w:p>
      <w:pPr>
        <w:jc w:val="both"/>
        <w:ind w:firstLine="708"/>
        <w:spacing w:line="360" w:lineRule="auto"/>
      </w:pPr>
      <w:r>
        <w:rPr>
          <w:rFonts w:ascii="Times New Roman" w:hAnsi="Times New Roman"/>
          <w:sz w:val="28"/>
        </w:rPr>
        <w:t xml:space="preserve">где θ – температура изоляции; θ_окр – температура окружающей среды; R_т – тепловое сопротивление изоляции; τ – постоянная времени нагрева; p – оператор дифференцирования. Защита срабатывает при достижении температурой изоляции предельно допустимого значения, что обеспечивает максимальное использование перегрузочной способности кабеля без риска его повреждения</w:t>
      </w:r>
      <w:hyperlink w:anchor="_Source_12">
        <w:r>
          <w:rPr>
            <w:rFonts w:ascii="Times New Roman" w:hAnsi="Times New Roman"/>
            <w:sz w:val="28"/>
            <w:rStyle w:val="Hyperlink"/>
          </w:rPr>
          <w:t>[12]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При расчете защиты от перегрузки необходимо учитывать возможность автоматического ввода резерва (АВР) или самозапуска двигателей после кратковременного перерыва питания. В этих режимах кратковременная перегрузка фидера является нормальной и не должна приводить к срабатыванию защиты. Для предотвращения ложных срабатываний применяется блокировка защиты от перегрузки на время действия АВР или используется зависимая время-токовая характеристика с большей выдержкой времени при умеренных перегрузках</w:t>
      </w:r>
      <w:hyperlink w:anchor="_Source_10">
        <w:r>
          <w:rPr>
            <w:rFonts w:ascii="Times New Roman" w:hAnsi="Times New Roman"/>
            <w:sz w:val="28"/>
            <w:rStyle w:val="Hyperlink"/>
          </w:rPr>
          <w:t>[10]</w:t>
        </w:r>
      </w:hyperlink>
      <w:hyperlink w:anchor="_Source_12">
        <w:r>
          <w:rPr>
            <w:rFonts w:ascii="Times New Roman" w:hAnsi="Times New Roman"/>
            <w:sz w:val="28"/>
            <w:rStyle w:val="Hyperlink"/>
          </w:rPr>
          <w:t>[12]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Проверка согласования защиты от перегрузки с характеристиками защищаемого кабеля выполняется путем построения совмещенных графиков время-токовых характеристик защиты и допустимых перегрузок кабеля. Характеристика защиты должна проходить ниже кривой допустимой перегрузки кабеля, обеспечивая его отключение до достижения опасной температуры изоляции</w:t>
      </w:r>
      <w:hyperlink w:anchor="_Source_12">
        <w:r>
          <w:rPr>
            <w:rFonts w:ascii="Times New Roman" w:hAnsi="Times New Roman"/>
            <w:sz w:val="28"/>
            <w:rStyle w:val="Hyperlink"/>
          </w:rPr>
          <w:t>[12]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фидеров, питающих особо ответственных потребителей, защита от перегрузки может быть выполнена с действием на сигнал вместо отключения. Это позволяет оперативному персоналу принять меры по разгрузке фидера без прерывания электроснабжения потребителей. Альтернативным решением является автоматическая разгрузка фидера путем отключения менее ответственных потребителей по сигналу от защиты от перегрузки</w:t>
      </w:r>
      <w:hyperlink w:anchor="_Source_10">
        <w:r>
          <w:rPr>
            <w:rFonts w:ascii="Times New Roman" w:hAnsi="Times New Roman"/>
            <w:sz w:val="28"/>
            <w:rStyle w:val="Hyperlink"/>
          </w:rPr>
          <w:t>[10]</w:t>
        </w:r>
      </w:hyperlink>
      <w:r>
        <w:rPr>
          <w:rFonts w:ascii="Times New Roman" w:hAnsi="Times New Roman"/>
          <w:sz w:val="28"/>
        </w:rPr>
        <w:t xml:space="preserve">.</w:t>
      </w:r>
    </w:p>
    <w:p>
      <w:pPr>
        <w:jc w:val="center"/>
        <w:spacing w:after="120"/>
      </w:pPr>
      <w:r>
        <w:rPr>
          <w:rFonts w:ascii="Times New Roman" w:hAnsi="Times New Roman"/>
          <w:sz w:val="24"/>
          <w:b/>
        </w:rPr>
        <w:t>Таблица 5. Типовые уставки защит фидера 10 кВ с двигательной нагрузкой</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Тип защиты</w:t>
            </w:r>
          </w:p>
        </w:tc>
        <w:tc>
          <w:tcPr>
            <w:vAlign w:val="center"/>
          </w:tcPr>
          <w:p>
            <w:pPr>
              <w:jc w:val="center"/>
            </w:pPr>
            <w:r>
              <w:rPr>
                <w:rFonts w:ascii="Times New Roman"/>
                <w:sz w:val="24"/>
                <w:b/>
              </w:rPr>
              <w:t>Параметр уставки</w:t>
            </w:r>
          </w:p>
        </w:tc>
        <w:tc>
          <w:tcPr>
            <w:vAlign w:val="center"/>
          </w:tcPr>
          <w:p>
            <w:pPr>
              <w:jc w:val="center"/>
            </w:pPr>
            <w:r>
              <w:rPr>
                <w:rFonts w:ascii="Times New Roman"/>
                <w:sz w:val="24"/>
                <w:b/>
              </w:rPr>
              <w:t>Диапазон значений</w:t>
            </w:r>
          </w:p>
        </w:tc>
        <w:tc>
          <w:tcPr>
            <w:vAlign w:val="center"/>
          </w:tcPr>
          <w:p>
            <w:pPr>
              <w:jc w:val="center"/>
            </w:pPr>
            <w:r>
              <w:rPr>
                <w:rFonts w:ascii="Times New Roman"/>
                <w:sz w:val="24"/>
                <w:b/>
              </w:rPr>
              <w:t>Примечание</w:t>
            </w:r>
          </w:p>
        </w:tc>
      </w:tr>
      <w:tr>
        <w:tc>
          <w:tcPr>
            <w:vAlign w:val="center"/>
          </w:tcPr>
          <w:p>
            <w:pPr>
              <w:jc w:val="center"/>
            </w:pPr>
            <w:r>
              <w:rPr>
                <w:rFonts w:ascii="Times New Roman"/>
                <w:sz w:val="24"/>
              </w:rPr>
              <w:t>МТЗ</w:t>
            </w:r>
          </w:p>
        </w:tc>
        <w:tc>
          <w:tcPr>
            <w:vAlign w:val="center"/>
          </w:tcPr>
          <w:p>
            <w:pPr>
              <w:jc w:val="center"/>
            </w:pPr>
            <w:r>
              <w:rPr>
                <w:rFonts w:ascii="Times New Roman"/>
                <w:sz w:val="24"/>
              </w:rPr>
              <w:t>Ток срабатывания</w:t>
            </w:r>
          </w:p>
        </w:tc>
        <w:tc>
          <w:tcPr>
            <w:vAlign w:val="center"/>
          </w:tcPr>
          <w:p>
            <w:pPr>
              <w:jc w:val="center"/>
            </w:pPr>
            <w:r>
              <w:rPr>
                <w:rFonts w:ascii="Times New Roman"/>
                <w:sz w:val="24"/>
              </w:rPr>
              <w:t>(1,1–1,3) × I_раб.макс × K_сзп</w:t>
            </w:r>
          </w:p>
        </w:tc>
        <w:tc>
          <w:tcPr>
            <w:vAlign w:val="center"/>
          </w:tcPr>
          <w:p>
            <w:pPr>
              <w:jc w:val="center"/>
            </w:pPr>
            <w:r>
              <w:rPr>
                <w:rFonts w:ascii="Times New Roman"/>
                <w:sz w:val="24"/>
              </w:rPr>
              <w:t>K_сзп = 2,5–3,0 для двигательной нагрузки</w:t>
            </w:r>
          </w:p>
        </w:tc>
      </w:tr>
      <w:tr>
        <w:tc>
          <w:tcPr>
            <w:vAlign w:val="center"/>
          </w:tcPr>
          <w:p>
            <w:pPr>
              <w:jc w:val="center"/>
            </w:pPr>
            <w:r>
              <w:rPr>
                <w:rFonts w:ascii="Times New Roman"/>
                <w:sz w:val="24"/>
              </w:rPr>
              <w:t>МТЗ</w:t>
            </w:r>
          </w:p>
        </w:tc>
        <w:tc>
          <w:tcPr>
            <w:vAlign w:val="center"/>
          </w:tcPr>
          <w:p>
            <w:pPr>
              <w:jc w:val="center"/>
            </w:pPr>
            <w:r>
              <w:rPr>
                <w:rFonts w:ascii="Times New Roman"/>
                <w:sz w:val="24"/>
              </w:rPr>
              <w:t>Время срабатывания</w:t>
            </w:r>
          </w:p>
        </w:tc>
        <w:tc>
          <w:tcPr>
            <w:vAlign w:val="center"/>
          </w:tcPr>
          <w:p>
            <w:pPr>
              <w:jc w:val="center"/>
            </w:pPr>
            <w:r>
              <w:rPr>
                <w:rFonts w:ascii="Times New Roman"/>
                <w:sz w:val="24"/>
              </w:rPr>
              <w:t>0,5–1,5 с</w:t>
            </w:r>
          </w:p>
        </w:tc>
        <w:tc>
          <w:tcPr>
            <w:vAlign w:val="center"/>
          </w:tcPr>
          <w:p>
            <w:pPr>
              <w:jc w:val="center"/>
            </w:pPr>
            <w:r>
              <w:rPr>
                <w:rFonts w:ascii="Times New Roman"/>
                <w:sz w:val="24"/>
              </w:rPr>
              <w:t>С учетом селективности</w:t>
            </w:r>
          </w:p>
        </w:tc>
      </w:tr>
      <w:tr>
        <w:tc>
          <w:tcPr>
            <w:vAlign w:val="center"/>
          </w:tcPr>
          <w:p>
            <w:pPr>
              <w:jc w:val="center"/>
            </w:pPr>
            <w:r>
              <w:rPr>
                <w:rFonts w:ascii="Times New Roman"/>
                <w:sz w:val="24"/>
              </w:rPr>
              <w:t>МТЗ</w:t>
            </w:r>
          </w:p>
        </w:tc>
        <w:tc>
          <w:tcPr>
            <w:vAlign w:val="center"/>
          </w:tcPr>
          <w:p>
            <w:pPr>
              <w:jc w:val="center"/>
            </w:pPr>
            <w:r>
              <w:rPr>
                <w:rFonts w:ascii="Times New Roman"/>
                <w:sz w:val="24"/>
              </w:rPr>
              <w:t>Коэффициент чувствительности</w:t>
            </w:r>
          </w:p>
        </w:tc>
        <w:tc>
          <w:tcPr>
            <w:vAlign w:val="center"/>
          </w:tcPr>
          <w:p>
            <w:pPr>
              <w:jc w:val="center"/>
            </w:pPr>
            <w:r>
              <w:rPr>
                <w:rFonts w:ascii="Times New Roman"/>
                <w:sz w:val="24"/>
              </w:rPr>
              <w:t>≥ 1,5</w:t>
            </w:r>
          </w:p>
        </w:tc>
        <w:tc>
          <w:tcPr>
            <w:vAlign w:val="center"/>
          </w:tcPr>
          <w:p>
            <w:pPr>
              <w:jc w:val="center"/>
            </w:pPr>
            <w:r>
              <w:rPr>
                <w:rFonts w:ascii="Times New Roman"/>
                <w:sz w:val="24"/>
              </w:rPr>
              <w:t>При I_кз.мин в конце зоны</w:t>
            </w:r>
          </w:p>
        </w:tc>
      </w:tr>
      <w:tr>
        <w:tc>
          <w:tcPr>
            <w:vAlign w:val="center"/>
          </w:tcPr>
          <w:p>
            <w:pPr>
              <w:jc w:val="center"/>
            </w:pPr>
            <w:r>
              <w:rPr>
                <w:rFonts w:ascii="Times New Roman"/>
                <w:sz w:val="24"/>
              </w:rPr>
              <w:t>ТО-1</w:t>
            </w:r>
          </w:p>
        </w:tc>
        <w:tc>
          <w:tcPr>
            <w:vAlign w:val="center"/>
          </w:tcPr>
          <w:p>
            <w:pPr>
              <w:jc w:val="center"/>
            </w:pPr>
            <w:r>
              <w:rPr>
                <w:rFonts w:ascii="Times New Roman"/>
                <w:sz w:val="24"/>
              </w:rPr>
              <w:t>Ток срабатывания</w:t>
            </w:r>
          </w:p>
        </w:tc>
        <w:tc>
          <w:tcPr>
            <w:vAlign w:val="center"/>
          </w:tcPr>
          <w:p>
            <w:pPr>
              <w:jc w:val="center"/>
            </w:pPr>
            <w:r>
              <w:rPr>
                <w:rFonts w:ascii="Times New Roman"/>
                <w:sz w:val="24"/>
              </w:rPr>
              <w:t>(1,2–1,8) × I_кз.макс</w:t>
            </w:r>
          </w:p>
        </w:tc>
        <w:tc>
          <w:tcPr>
            <w:vAlign w:val="center"/>
          </w:tcPr>
          <w:p>
            <w:pPr>
              <w:jc w:val="center"/>
            </w:pPr>
            <w:r>
              <w:rPr>
                <w:rFonts w:ascii="Times New Roman"/>
                <w:sz w:val="24"/>
              </w:rPr>
              <w:t>Отстройка от бросков пусковых токов</w:t>
            </w:r>
          </w:p>
        </w:tc>
      </w:tr>
      <w:tr>
        <w:tc>
          <w:tcPr>
            <w:vAlign w:val="center"/>
          </w:tcPr>
          <w:p>
            <w:pPr>
              <w:jc w:val="center"/>
            </w:pPr>
            <w:r>
              <w:rPr>
                <w:rFonts w:ascii="Times New Roman"/>
                <w:sz w:val="24"/>
              </w:rPr>
              <w:t>ТО-1</w:t>
            </w:r>
          </w:p>
        </w:tc>
        <w:tc>
          <w:tcPr>
            <w:vAlign w:val="center"/>
          </w:tcPr>
          <w:p>
            <w:pPr>
              <w:jc w:val="center"/>
            </w:pPr>
            <w:r>
              <w:rPr>
                <w:rFonts w:ascii="Times New Roman"/>
                <w:sz w:val="24"/>
              </w:rPr>
              <w:t>Время срабатывания</w:t>
            </w:r>
          </w:p>
        </w:tc>
        <w:tc>
          <w:tcPr>
            <w:vAlign w:val="center"/>
          </w:tcPr>
          <w:p>
            <w:pPr>
              <w:jc w:val="center"/>
            </w:pPr>
            <w:r>
              <w:rPr>
                <w:rFonts w:ascii="Times New Roman"/>
                <w:sz w:val="24"/>
              </w:rPr>
              <w:t>0 с</w:t>
            </w:r>
          </w:p>
        </w:tc>
        <w:tc>
          <w:tcPr>
            <w:vAlign w:val="center"/>
          </w:tcPr>
          <w:p>
            <w:pPr>
              <w:jc w:val="center"/>
            </w:pPr>
            <w:r>
              <w:rPr>
                <w:rFonts w:ascii="Times New Roman"/>
                <w:sz w:val="24"/>
              </w:rPr>
              <w:t>Без выдержки времени</w:t>
            </w:r>
          </w:p>
        </w:tc>
      </w:tr>
      <w:tr>
        <w:tc>
          <w:tcPr>
            <w:vAlign w:val="center"/>
          </w:tcPr>
          <w:p>
            <w:pPr>
              <w:jc w:val="center"/>
            </w:pPr>
            <w:r>
              <w:rPr>
                <w:rFonts w:ascii="Times New Roman"/>
                <w:sz w:val="24"/>
              </w:rPr>
              <w:t>ТО-2</w:t>
            </w:r>
          </w:p>
        </w:tc>
        <w:tc>
          <w:tcPr>
            <w:vAlign w:val="center"/>
          </w:tcPr>
          <w:p>
            <w:pPr>
              <w:jc w:val="center"/>
            </w:pPr>
            <w:r>
              <w:rPr>
                <w:rFonts w:ascii="Times New Roman"/>
                <w:sz w:val="24"/>
              </w:rPr>
              <w:t>Ток срабатывания</w:t>
            </w:r>
          </w:p>
        </w:tc>
        <w:tc>
          <w:tcPr>
            <w:vAlign w:val="center"/>
          </w:tcPr>
          <w:p>
            <w:pPr>
              <w:jc w:val="center"/>
            </w:pPr>
            <w:r>
              <w:rPr>
                <w:rFonts w:ascii="Times New Roman"/>
                <w:sz w:val="24"/>
              </w:rPr>
              <w:t>(1,2–1,4) × I_кз.шины</w:t>
            </w:r>
          </w:p>
        </w:tc>
        <w:tc>
          <w:tcPr>
            <w:vAlign w:val="center"/>
          </w:tcPr>
          <w:p>
            <w:pPr>
              <w:jc w:val="center"/>
            </w:pPr>
            <w:r>
              <w:rPr>
                <w:rFonts w:ascii="Times New Roman"/>
                <w:sz w:val="24"/>
              </w:rPr>
              <w:t>Отстройка от КЗ на шинах</w:t>
            </w:r>
          </w:p>
        </w:tc>
      </w:tr>
      <w:tr>
        <w:tc>
          <w:tcPr>
            <w:vAlign w:val="center"/>
          </w:tcPr>
          <w:p>
            <w:pPr>
              <w:jc w:val="center"/>
            </w:pPr>
            <w:r>
              <w:rPr>
                <w:rFonts w:ascii="Times New Roman"/>
                <w:sz w:val="24"/>
              </w:rPr>
              <w:t>ТО-2</w:t>
            </w:r>
          </w:p>
        </w:tc>
        <w:tc>
          <w:tcPr>
            <w:vAlign w:val="center"/>
          </w:tcPr>
          <w:p>
            <w:pPr>
              <w:jc w:val="center"/>
            </w:pPr>
            <w:r>
              <w:rPr>
                <w:rFonts w:ascii="Times New Roman"/>
                <w:sz w:val="24"/>
              </w:rPr>
              <w:t>Время срабатывания</w:t>
            </w:r>
          </w:p>
        </w:tc>
        <w:tc>
          <w:tcPr>
            <w:vAlign w:val="center"/>
          </w:tcPr>
          <w:p>
            <w:pPr>
              <w:jc w:val="center"/>
            </w:pPr>
            <w:r>
              <w:rPr>
                <w:rFonts w:ascii="Times New Roman"/>
                <w:sz w:val="24"/>
              </w:rPr>
              <w:t>0,3–0,6 с</w:t>
            </w:r>
          </w:p>
        </w:tc>
        <w:tc>
          <w:tcPr>
            <w:vAlign w:val="center"/>
          </w:tcPr>
          <w:p>
            <w:pPr>
              <w:jc w:val="center"/>
            </w:pPr>
            <w:r>
              <w:rPr>
                <w:rFonts w:ascii="Times New Roman"/>
                <w:sz w:val="24"/>
              </w:rPr>
              <w:t>Ступень селективности</w:t>
            </w:r>
          </w:p>
        </w:tc>
      </w:tr>
      <w:tr>
        <w:tc>
          <w:tcPr>
            <w:vAlign w:val="center"/>
          </w:tcPr>
          <w:p>
            <w:pPr>
              <w:jc w:val="center"/>
            </w:pPr>
            <w:r>
              <w:rPr>
                <w:rFonts w:ascii="Times New Roman"/>
                <w:sz w:val="24"/>
              </w:rPr>
              <w:t>Защита от перегрузки</w:t>
            </w:r>
          </w:p>
        </w:tc>
        <w:tc>
          <w:tcPr>
            <w:vAlign w:val="center"/>
          </w:tcPr>
          <w:p>
            <w:pPr>
              <w:jc w:val="center"/>
            </w:pPr>
            <w:r>
              <w:rPr>
                <w:rFonts w:ascii="Times New Roman"/>
                <w:sz w:val="24"/>
              </w:rPr>
              <w:t>Ток срабатывания</w:t>
            </w:r>
          </w:p>
        </w:tc>
        <w:tc>
          <w:tcPr>
            <w:vAlign w:val="center"/>
          </w:tcPr>
          <w:p>
            <w:pPr>
              <w:jc w:val="center"/>
            </w:pPr>
            <w:r>
              <w:rPr>
                <w:rFonts w:ascii="Times New Roman"/>
                <w:sz w:val="24"/>
              </w:rPr>
              <w:t>(1,05–1,1) × I_доп</w:t>
            </w:r>
          </w:p>
        </w:tc>
        <w:tc>
          <w:tcPr>
            <w:vAlign w:val="center"/>
          </w:tcPr>
          <w:p>
            <w:pPr>
              <w:jc w:val="center"/>
            </w:pPr>
            <w:r>
              <w:rPr>
                <w:rFonts w:ascii="Times New Roman"/>
                <w:sz w:val="24"/>
              </w:rPr>
              <w:t>С учетом условий прокладки</w:t>
            </w:r>
          </w:p>
        </w:tc>
      </w:tr>
      <w:tr>
        <w:tc>
          <w:tcPr>
            <w:vAlign w:val="center"/>
          </w:tcPr>
          <w:p>
            <w:pPr>
              <w:jc w:val="center"/>
            </w:pPr>
            <w:r>
              <w:rPr>
                <w:rFonts w:ascii="Times New Roman"/>
                <w:sz w:val="24"/>
              </w:rPr>
              <w:t>Защита от перегрузки</w:t>
            </w:r>
          </w:p>
        </w:tc>
        <w:tc>
          <w:tcPr>
            <w:vAlign w:val="center"/>
          </w:tcPr>
          <w:p>
            <w:pPr>
              <w:jc w:val="center"/>
            </w:pPr>
            <w:r>
              <w:rPr>
                <w:rFonts w:ascii="Times New Roman"/>
                <w:sz w:val="24"/>
              </w:rPr>
              <w:t>Время срабатывания</w:t>
            </w:r>
          </w:p>
        </w:tc>
        <w:tc>
          <w:tcPr>
            <w:vAlign w:val="center"/>
          </w:tcPr>
          <w:p>
            <w:pPr>
              <w:jc w:val="center"/>
            </w:pPr>
            <w:r>
              <w:rPr>
                <w:rFonts w:ascii="Times New Roman"/>
                <w:sz w:val="24"/>
              </w:rPr>
              <w:t>6–9 с</w:t>
            </w:r>
          </w:p>
        </w:tc>
        <w:tc>
          <w:tcPr>
            <w:vAlign w:val="center"/>
          </w:tcPr>
          <w:p>
            <w:pPr>
              <w:jc w:val="center"/>
            </w:pPr>
            <w:r>
              <w:rPr>
                <w:rFonts w:ascii="Times New Roman"/>
                <w:sz w:val="24"/>
              </w:rPr>
              <w:t>Отстройка от пусков двигателей</w:t>
            </w:r>
          </w:p>
        </w:tc>
      </w:tr>
    </w:tbl>
    <w:p>
      <w:r>
        <w:t/>
      </w:r>
    </w:p>
    <w:p>
      <w:pPr>
        <w:jc w:val="both"/>
        <w:ind w:firstLine="708"/>
        <w:spacing w:line="360" w:lineRule="auto"/>
      </w:pPr>
      <w:r>
        <w:rPr>
          <w:rFonts w:ascii="Times New Roman" w:hAnsi="Times New Roman"/>
          <w:sz w:val="28"/>
        </w:rPr>
        <w:t xml:space="preserve">Расчет уставок релейной защиты должен завершаться проверкой селективности всех ступеней защиты при различных режимах работы сети и видах повреждений. Карты селективности строятся в координатах ток-время и позволяют визуально оценить правильность выбора уставок и наличие необходимых ступеней селективности между защитами смежных элементов. При выявлении нарушений селективности производится корректировка уставок с сохранением требуемой чувствительности защит</w:t>
      </w:r>
      <w:hyperlink w:anchor="_Source_12">
        <w:r>
          <w:rPr>
            <w:rFonts w:ascii="Times New Roman" w:hAnsi="Times New Roman"/>
            <w:sz w:val="28"/>
            <w:rStyle w:val="Hyperlink"/>
          </w:rPr>
          <w:t>[12]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Расчет уставок релейной защиты является ключевым этапом проектирования систем защиты электрических сетей, обеспечивающим надежную и селективную работу защитных устройств. Для фидера 10 кВ с двигательной нагрузкой необходимо учитывать специфические особенности режимов работы, включая пусковые токи электродвигателей, возможные перегрузки и различные виды коротких замыканий. Правильный выбор уставок обеспечивает баланс между чувствительностью защиты к аварийным режимам и ее устойчивостью к кратковременным возмущениям, характерным для нормальной эксплуатации электроустановок</w:t>
      </w:r>
      <w:hyperlink w:anchor="_Source_12">
        <w:r>
          <w:rPr>
            <w:rFonts w:ascii="Times New Roman" w:hAnsi="Times New Roman"/>
            <w:sz w:val="28"/>
            <w:rStyle w:val="Hyperlink"/>
          </w:rPr>
          <w:t>[12]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Современные цифровые реле защиты позволяют реализовать адаптивные алгоритмы, автоматически корректирующие параметры срабатывания в зависимости от условий работы сети. Такие устройства способны различать внутренние и внешние повреждения, учитывать насыщение трансформаторов тока и изменение топологии сети. Применение адаптивных методов повышает стабильность защиты при внешних коротких замыканиях с насыщением трансформаторов тока и улучшает чувствительность при внутренних повреждениях</w:t>
      </w:r>
      <w:hyperlink w:anchor="_Source_10">
        <w:r>
          <w:rPr>
            <w:rFonts w:ascii="Times New Roman" w:hAnsi="Times New Roman"/>
            <w:sz w:val="28"/>
            <w:rStyle w:val="Hyperlink"/>
          </w:rPr>
          <w:t>[10]</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Расчет уставок защиты минимального напряжения</w:t>
      </w:r>
    </w:p>
    <w:p>
      <w:pPr>
        <w:jc w:val="both"/>
        <w:ind w:firstLine="708"/>
        <w:spacing w:line="360" w:lineRule="auto"/>
      </w:pPr>
      <w:r>
        <w:rPr>
          <w:rFonts w:ascii="Times New Roman" w:hAnsi="Times New Roman"/>
          <w:sz w:val="28"/>
        </w:rPr>
        <w:t xml:space="preserve">Защита минимального напряжения предназначена для предотвращения работы электродвигателей при недопустимом снижении напряжения питания, которое может привести к перегреву обмоток, нарушению технологического процесса и повреждению оборудования. Уставка срабатывания защиты по напряжению определяется исходя из требований к минимально допустимому уровню напряжения для нормальной работы двигательной нагрузки.</w:t>
      </w:r>
    </w:p>
    <w:p>
      <w:pPr>
        <w:jc w:val="both"/>
        <w:ind w:firstLine="708"/>
        <w:spacing w:line="360" w:lineRule="auto"/>
      </w:pPr>
      <w:r>
        <w:rPr>
          <w:rFonts w:ascii="Times New Roman" w:hAnsi="Times New Roman"/>
          <w:sz w:val="28"/>
        </w:rPr>
        <w:t xml:space="preserve">Для электродвигателей напряжением 10 кВ минимально допустимое напряжение обычно составляет 0,7–0,8 от номинального значения. При более глубоких посадках напряжения возрастает потребляемый ток, что может вызвать перегрузку питающей сети и термическое повреждение изоляции обмоток. Уставка напряжения срабатывания защиты минимального напряжения рассчитывается по формуле:</w:t>
      </w:r>
    </w:p>
    <w:p>
      <w:pPr>
        <w:jc w:val="both"/>
        <w:ind w:firstLine="708"/>
        <w:spacing w:line="360" w:lineRule="auto"/>
      </w:pPr>
      <w:r>
        <w:rPr>
          <w:rFonts w:ascii="Times New Roman" w:hAnsi="Times New Roman"/>
          <w:sz w:val="28"/>
        </w:rPr>
        <w:t xml:space="preserve">U_уст = k_отс × U_ном</w:t>
      </w:r>
    </w:p>
    <w:p>
      <w:pPr>
        <w:jc w:val="both"/>
        <w:ind w:firstLine="708"/>
        <w:spacing w:line="360" w:lineRule="auto"/>
      </w:pPr>
      <w:r>
        <w:rPr>
          <w:rFonts w:ascii="Times New Roman" w:hAnsi="Times New Roman"/>
          <w:sz w:val="28"/>
        </w:rPr>
        <w:t xml:space="preserve">где k_отс – коэффициент отстройки, обычно принимаемый в диапазоне 0,65–0,75; U_ном – номинальное линейное напряжение сети (10 кВ).</w:t>
      </w:r>
    </w:p>
    <w:p>
      <w:pPr>
        <w:jc w:val="both"/>
        <w:ind w:firstLine="708"/>
        <w:spacing w:line="360" w:lineRule="auto"/>
      </w:pPr>
      <w:r>
        <w:rPr>
          <w:rFonts w:ascii="Times New Roman" w:hAnsi="Times New Roman"/>
          <w:sz w:val="28"/>
        </w:rPr>
        <w:t xml:space="preserve">При выборе коэффициента отстройки необходимо учитывать характер нагрузки и требования технологического процесса. Для ответственных механизмов, где недопустима работа при пониженном напряжении, следует выбирать более высокие значения k_отс (0,70–0,75). Для менее критичных потребителей допускается снижение коэффициента до 0,65–0,70, что позволяет избежать излишних отключений при кратковременных просадках напряжения.</w:t>
      </w:r>
    </w:p>
    <w:p>
      <w:pPr>
        <w:jc w:val="both"/>
        <w:ind w:firstLine="708"/>
        <w:spacing w:line="360" w:lineRule="auto"/>
      </w:pPr>
      <w:r>
        <w:rPr>
          <w:rFonts w:ascii="Times New Roman" w:hAnsi="Times New Roman"/>
          <w:sz w:val="28"/>
        </w:rPr>
        <w:t xml:space="preserve">Важным параметром является выдержка времени срабатывания защиты минимального напряжения. Она должна быть согласована с длительностью переходных процессов при коротких замыканиях в смежных элементах сети и временем действия основных защит. Типовые значения выдержки времени составляют 0,5–1,5 секунды, что обеспечивает отстройку от кратковременных провалов напряжения при устранении внешних коротких замыканий и исключает ложные срабатывания при коммутационных операциях.</w:t>
      </w:r>
    </w:p>
    <w:p>
      <w:pPr>
        <w:jc w:val="both"/>
        <w:ind w:firstLine="708"/>
        <w:spacing w:line="360" w:lineRule="auto"/>
      </w:pPr>
      <w:r>
        <w:rPr>
          <w:rFonts w:ascii="Times New Roman" w:hAnsi="Times New Roman"/>
          <w:sz w:val="28"/>
        </w:rPr>
        <w:t xml:space="preserve">Дополнительно следует предусмотреть блокировку защиты минимального напряжения при пуске электродвигателей, так как в этом режиме возможны значительные просадки напряжения, не являющиеся аварийными. Блокировка реализуется через логическую схему, учитывающую состояние пусковых устройств и фактический режим работы двигателей.</w:t>
      </w:r>
    </w:p>
    <w:p>
      <w:pPr>
        <w:pStyle w:val="Heading2"/>
        <w:spacing w:before="240" w:after="120"/>
      </w:pPr>
      <w:r>
        <w:rPr>
          <w:rFonts w:ascii="Times New Roman" w:hAnsi="Times New Roman"/>
          <w:b/>
          <w:sz w:val="28"/>
        </w:rPr>
        <w:t xml:space="preserve">Расчет уставок защиты от однофазных замыканий на землю</w:t>
      </w:r>
    </w:p>
    <w:p>
      <w:pPr>
        <w:jc w:val="both"/>
        <w:ind w:firstLine="708"/>
        <w:spacing w:line="360" w:lineRule="auto"/>
      </w:pPr>
      <w:r>
        <w:rPr>
          <w:rFonts w:ascii="Times New Roman" w:hAnsi="Times New Roman"/>
          <w:sz w:val="28"/>
        </w:rPr>
        <w:t xml:space="preserve">В сетях 10 кВ с изолированной или компенсированной нейтралью однофазные замыкания на землю (ОЗЗ) не сопровождаются большими токами повреждения, однако представляют опасность из-за возможности перехода в многофазное короткое замыкание и появления опасных перенапряжений. Защита от ОЗЗ должна обеспечивать селективное выявление поврежденного присоединения при минимальных токах замыкания.</w:t>
      </w:r>
    </w:p>
    <w:p>
      <w:pPr>
        <w:jc w:val="both"/>
        <w:ind w:firstLine="708"/>
        <w:spacing w:line="360" w:lineRule="auto"/>
      </w:pPr>
      <w:r>
        <w:rPr>
          <w:rFonts w:ascii="Times New Roman" w:hAnsi="Times New Roman"/>
          <w:sz w:val="28"/>
        </w:rPr>
        <w:t xml:space="preserve">Ток однофазного замыкания на землю в сети с изолированной нейтралью определяется емкостными токами неповрежденных фаз и зависит от протяженности линий и конфигурации сети. Для фидера 10 кВ с кабельными линиями емкостный ток замыкания на землю можно оценить по формуле:</w:t>
      </w:r>
    </w:p>
    <w:p>
      <w:pPr>
        <w:jc w:val="both"/>
        <w:ind w:firstLine="708"/>
        <w:spacing w:line="360" w:lineRule="auto"/>
      </w:pPr>
      <w:r>
        <w:rPr>
          <w:rFonts w:ascii="Times New Roman" w:hAnsi="Times New Roman"/>
          <w:sz w:val="28"/>
        </w:rPr>
        <w:t xml:space="preserve">I_ОЗЗ = 3ωCU_ф</w:t>
      </w:r>
    </w:p>
    <w:p>
      <w:pPr>
        <w:jc w:val="both"/>
        <w:ind w:firstLine="708"/>
        <w:spacing w:line="360" w:lineRule="auto"/>
      </w:pPr>
      <w:r>
        <w:rPr>
          <w:rFonts w:ascii="Times New Roman" w:hAnsi="Times New Roman"/>
          <w:sz w:val="28"/>
        </w:rPr>
        <w:t xml:space="preserve">где ω – угловая частота (314 рад/с для частоты 50 Гц); C – емкость фазы относительно земли на единицу длины линии (для кабелей 10 кВ составляет 0,2–0,4 мкФ/км); U_ф – фазное напряжение сети (5,77 кВ для сети 10 кВ).</w:t>
      </w:r>
    </w:p>
    <w:p>
      <w:pPr>
        <w:jc w:val="both"/>
        <w:ind w:firstLine="708"/>
        <w:spacing w:line="360" w:lineRule="auto"/>
      </w:pPr>
      <w:r>
        <w:rPr>
          <w:rFonts w:ascii="Times New Roman" w:hAnsi="Times New Roman"/>
          <w:sz w:val="28"/>
        </w:rPr>
        <w:t xml:space="preserve">Для кабельной линии протяженностью 5 км с удельной емкостью 0,3 мкФ/км емкостный ток замыкания составит примерно 15–20 А. Уставка срабатывания токовой защиты от ОЗЗ выбирается с учетом отстройки от токов небаланса трансформаторов тока нулевой последовательности и емкостных токов смежных присоединений:</w:t>
      </w:r>
    </w:p>
    <w:p>
      <w:pPr>
        <w:jc w:val="both"/>
        <w:ind w:firstLine="708"/>
        <w:spacing w:line="360" w:lineRule="auto"/>
      </w:pPr>
      <w:r>
        <w:rPr>
          <w:rFonts w:ascii="Times New Roman" w:hAnsi="Times New Roman"/>
          <w:sz w:val="28"/>
        </w:rPr>
        <w:t xml:space="preserve">I_уст.ОЗЗ = k_отс × I_емк.макс</w:t>
      </w:r>
    </w:p>
    <w:p>
      <w:pPr>
        <w:jc w:val="both"/>
        <w:ind w:firstLine="708"/>
        <w:spacing w:line="360" w:lineRule="auto"/>
      </w:pPr>
      <w:r>
        <w:rPr>
          <w:rFonts w:ascii="Times New Roman" w:hAnsi="Times New Roman"/>
          <w:sz w:val="28"/>
        </w:rPr>
        <w:t xml:space="preserve">где k_отс – коэффициент отстройки, принимаемый равным 1,2–1,5; I_емк.макс – максимальный емкостный ток небаланса и утечки при нормальной работе.</w:t>
      </w:r>
    </w:p>
    <w:p>
      <w:pPr>
        <w:jc w:val="both"/>
        <w:ind w:firstLine="708"/>
        <w:spacing w:line="360" w:lineRule="auto"/>
      </w:pPr>
      <w:r>
        <w:rPr>
          <w:rFonts w:ascii="Times New Roman" w:hAnsi="Times New Roman"/>
          <w:sz w:val="28"/>
        </w:rPr>
        <w:t xml:space="preserve">Современные микропроцессорные устройства защиты позволяют реализовать направленную защиту от ОЗЗ, основанную на анализе угла между током и напряжением нулевой последовательности. Это обеспечивает высокую селективность при малых токах замыкания и позволяет надежно определять поврежденное присоединение в разветвленных сетях. Направленная защита особенно эффективна в сетях с компенсацией емкостных токов, где активная составляющая тока замыкания может быть сопоставима с реактивной</w:t>
      </w:r>
      <w:hyperlink w:anchor="_Source_10">
        <w:r>
          <w:rPr>
            <w:rFonts w:ascii="Times New Roman" w:hAnsi="Times New Roman"/>
            <w:sz w:val="28"/>
            <w:rStyle w:val="Hyperlink"/>
          </w:rPr>
          <w:t>[10]</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Выдержка времени защиты от ОЗЗ выбирается исходя из требований селективности и допустимого времени работы сети с замыканием на землю. Для неответственных присоединений допускается работа с замыканием на землю в течение нескольких часов, однако для фидеров с двигательной нагрузкой рекомендуется ограничивать это время до 1–2 часов во избежание развития повреждения. Типовые выдержки времени составляют 5–10 секунд для основной защиты и 0,5–1 секунду для ускоренной ступени, действующей при больших токах замыкания.</w:t>
      </w:r>
    </w:p>
    <w:p>
      <w:pPr>
        <w:pStyle w:val="Heading2"/>
        <w:spacing w:before="240" w:after="120"/>
      </w:pPr>
      <w:r>
        <w:rPr>
          <w:rFonts w:ascii="Times New Roman" w:hAnsi="Times New Roman"/>
          <w:b/>
          <w:sz w:val="28"/>
        </w:rPr>
        <w:t xml:space="preserve">Учет пусковых токов электродвигателей при выборе уставок</w:t>
      </w:r>
    </w:p>
    <w:p>
      <w:pPr>
        <w:jc w:val="both"/>
        <w:ind w:firstLine="708"/>
        <w:spacing w:line="360" w:lineRule="auto"/>
      </w:pPr>
      <w:r>
        <w:rPr>
          <w:rFonts w:ascii="Times New Roman" w:hAnsi="Times New Roman"/>
          <w:sz w:val="28"/>
        </w:rPr>
        <w:t xml:space="preserve">Пусковые токи электродвигателей существенно превышают номинальные значения и могут достигать 5–7-кратной величины в зависимости от типа двигателя и способа пуска. При прямом пуске асинхронных электродвигателей высокого напряжения пусковой ток может составлять 6–7 × I_ном, а его длительность – от нескольких секунд до десятков секунд для крупных машин. Такие токи не должны вызывать срабатывание защит от перегрузки и максимального тока, однако должны надежно отстраиваться от токов коротких замыканий</w:t>
      </w:r>
      <w:hyperlink w:anchor="_Source_12">
        <w:r>
          <w:rPr>
            <w:rFonts w:ascii="Times New Roman" w:hAnsi="Times New Roman"/>
            <w:sz w:val="28"/>
            <w:rStyle w:val="Hyperlink"/>
          </w:rPr>
          <w:t>[12]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отстройки максимальной токовой защиты от пусковых токов электродвигателей применяется повышенный коэффициент отстройки:</w:t>
      </w:r>
    </w:p>
    <w:p>
      <w:pPr>
        <w:jc w:val="both"/>
        <w:ind w:firstLine="708"/>
        <w:spacing w:line="360" w:lineRule="auto"/>
      </w:pPr>
      <w:r>
        <w:rPr>
          <w:rFonts w:ascii="Times New Roman" w:hAnsi="Times New Roman"/>
          <w:sz w:val="28"/>
        </w:rPr>
        <w:t xml:space="preserve">I_уст.МТЗ = k_отс × k_пуск × I_ном.макс / k_возв</w:t>
      </w:r>
    </w:p>
    <w:p>
      <w:pPr>
        <w:jc w:val="both"/>
        <w:ind w:firstLine="708"/>
        <w:spacing w:line="360" w:lineRule="auto"/>
      </w:pPr>
      <w:r>
        <w:rPr>
          <w:rFonts w:ascii="Times New Roman" w:hAnsi="Times New Roman"/>
          <w:sz w:val="28"/>
        </w:rPr>
        <w:t xml:space="preserve">где k_отс – коэффициент отстройки (1,1–1,2); k_пуск – кратность пускового тока наиболее мощного электродвигателя (5–7); I_ном.макс – номинальный ток наиболее мощного электродвигателя; k_возв – коэффициент возврата реле (0,85–0,95 для цифровых устройств).</w:t>
      </w:r>
    </w:p>
    <w:p>
      <w:pPr>
        <w:jc w:val="both"/>
        <w:ind w:firstLine="708"/>
        <w:spacing w:line="360" w:lineRule="auto"/>
      </w:pPr>
      <w:r>
        <w:rPr>
          <w:rFonts w:ascii="Times New Roman" w:hAnsi="Times New Roman"/>
          <w:sz w:val="28"/>
        </w:rPr>
        <w:t xml:space="preserve">При одновременном пуске нескольких электродвигателей суммарный пусковой ток может значительно возрасти, что требует дополнительного увеличения уставки или применения специальных алгоритмов блокировки защиты на время пуска. Современные цифровые реле позволяют реализовать адаптивные характеристики срабатывания, автоматически изменяющие уставки в зависимости от режима работы сети. Такие устройства способны распознавать пусковые режимы по характерным признакам (медленное нарастание тока, отсутствие высших гармоник, характерных для коротких замыканий) и временно повышать уставки срабатывания</w:t>
      </w:r>
      <w:hyperlink w:anchor="_Source_10">
        <w:r>
          <w:rPr>
            <w:rFonts w:ascii="Times New Roman" w:hAnsi="Times New Roman"/>
            <w:sz w:val="28"/>
            <w:rStyle w:val="Hyperlink"/>
          </w:rPr>
          <w:t>[10]</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Важным аспектом является учет самозапуска электродвигателей после кратковременного перерыва питания. При восстановлении напряжения после устранения короткого замыкания все электродвигатели, оставшиеся подключенными к сети, одновременно переходят в режим самозапуска, потребляя токи, близкие к пусковым. Суммарный ток самозапуска может в несколько раз превышать номинальный ток фидера и вызывать ложное срабатывание защит. Для предотвращения этого применяются следующие меры:</w:t>
      </w:r>
    </w:p>
    <w:p>
      <w:pPr>
        <w:ind w:left="708" w:hanging="360"/>
        <w:spacing w:line="360"/>
      </w:pPr>
      <w:r>
        <w:rPr>
          <w:rFonts w:ascii="Times New Roman"/>
          <w:sz w:val="28"/>
        </w:rPr>
        <w:t>• </w:t>
      </w:r>
      <w:r>
        <w:rPr>
          <w:rFonts w:ascii="Times New Roman" w:hAnsi="Times New Roman"/>
          <w:sz w:val="28"/>
        </w:rPr>
        <w:t xml:space="preserve">Увеличение выдержки времени срабатывания защиты от перегрузки до значений, превышающих длительность самозапуска (10–15 секунд);</w:t>
      </w:r>
    </w:p>
    <w:p>
      <w:pPr>
        <w:ind w:left="708" w:hanging="360"/>
        <w:spacing w:line="360"/>
      </w:pPr>
      <w:r>
        <w:rPr>
          <w:rFonts w:ascii="Times New Roman"/>
          <w:sz w:val="28"/>
        </w:rPr>
        <w:t>• </w:t>
      </w:r>
      <w:r>
        <w:rPr>
          <w:rFonts w:ascii="Times New Roman" w:hAnsi="Times New Roman"/>
          <w:sz w:val="28"/>
        </w:rPr>
        <w:t xml:space="preserve">Временная блокировка защит на период самозапуска с использованием логики распознавания режима;</w:t>
      </w:r>
    </w:p>
    <w:p>
      <w:pPr>
        <w:ind w:left="708" w:hanging="360"/>
        <w:spacing w:line="360"/>
      </w:pPr>
      <w:r>
        <w:rPr>
          <w:rFonts w:ascii="Times New Roman"/>
          <w:sz w:val="28"/>
        </w:rPr>
        <w:t>• </w:t>
      </w:r>
      <w:r>
        <w:rPr>
          <w:rFonts w:ascii="Times New Roman" w:hAnsi="Times New Roman"/>
          <w:sz w:val="28"/>
        </w:rPr>
        <w:t xml:space="preserve">Применение характеристик с зависимой выдержкой времени, обеспечивающих отстройку от кратковременных перегрузок при сохранении чувствительности к длительным перегрузкам.</w:t>
      </w:r>
    </w:p>
    <w:p>
      <w:pPr>
        <w:jc w:val="both"/>
        <w:ind w:firstLine="708"/>
        <w:spacing w:line="360" w:lineRule="auto"/>
      </w:pPr>
      <w:r>
        <w:rPr>
          <w:rFonts w:ascii="Times New Roman" w:hAnsi="Times New Roman"/>
          <w:sz w:val="28"/>
        </w:rPr>
        <w:t xml:space="preserve">Дифференциальная защита фидера должна быть устойчива к броскам намагничивающего тока трансформаторов при включении под напряжение, которые могут имитировать токи внутреннего короткого замыкания. Для этого применяется гармоническая блокировка, анализирующая содержание второй гармоники в дифференциальном токе. При значительном содержании второй гармоники (более 15–20% от основной гармоники) срабатывание защиты блокируется, что предотвращает ложные отключения при бросках тока намагничивания</w:t>
      </w:r>
      <w:hyperlink w:anchor="_Source_10">
        <w:r>
          <w:rPr>
            <w:rFonts w:ascii="Times New Roman" w:hAnsi="Times New Roman"/>
            <w:sz w:val="28"/>
            <w:rStyle w:val="Hyperlink"/>
          </w:rPr>
          <w:t>[10]</w:t>
        </w:r>
      </w:hyperlink>
      <w:hyperlink w:anchor="_Source_12">
        <w:r>
          <w:rPr>
            <w:rFonts w:ascii="Times New Roman" w:hAnsi="Times New Roman"/>
            <w:sz w:val="28"/>
            <w:rStyle w:val="Hyperlink"/>
          </w:rPr>
          <w:t>[12]</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Расчет выдержек времени срабатывания защит</w:t>
      </w:r>
    </w:p>
    <w:p>
      <w:pPr>
        <w:jc w:val="both"/>
        <w:ind w:firstLine="708"/>
        <w:spacing w:line="360" w:lineRule="auto"/>
      </w:pPr>
      <w:r>
        <w:rPr>
          <w:rFonts w:ascii="Times New Roman" w:hAnsi="Times New Roman"/>
          <w:sz w:val="28"/>
        </w:rPr>
        <w:t xml:space="preserve">Выдержки времени срабатывания защит определяются исходя из требований селективности, то есть способности защиты отключать только поврежденный элемент сети, не затрагивая смежные неповрежденные участки. Принцип селективности основан на ступенчатом согласовании выдержек времени защит, установленных на последовательно соединенных элементах сети. Защита, расположенная ближе к источнику питания, должна иметь большую выдержку времени, чем защита нижестоящего элемента, на величину ступени селективности.</w:t>
      </w:r>
    </w:p>
    <w:p>
      <w:pPr>
        <w:jc w:val="both"/>
        <w:ind w:firstLine="708"/>
        <w:spacing w:line="360" w:lineRule="auto"/>
      </w:pPr>
      <w:r>
        <w:rPr>
          <w:rFonts w:ascii="Times New Roman" w:hAnsi="Times New Roman"/>
          <w:sz w:val="28"/>
        </w:rPr>
        <w:t xml:space="preserve">Ступень селективности Δt включает в себя время срабатывания защиты предыдущей ступени, время отключения выключателя и запас на погрешность измерений и разброс характеристик. Для современных цифровых реле и вакуумных выключателей ступень селективности обычно составляет 0,3–0,5 секунды:</w:t>
      </w:r>
    </w:p>
    <w:p>
      <w:pPr>
        <w:jc w:val="both"/>
        <w:ind w:firstLine="708"/>
        <w:spacing w:line="360" w:lineRule="auto"/>
      </w:pPr>
      <w:r>
        <w:rPr>
          <w:rFonts w:ascii="Times New Roman" w:hAnsi="Times New Roman"/>
          <w:sz w:val="28"/>
        </w:rPr>
        <w:t xml:space="preserve">Δt = t_сраб.РЗ + t_откл.В + t_запас</w:t>
      </w:r>
    </w:p>
    <w:p>
      <w:pPr>
        <w:jc w:val="both"/>
        <w:ind w:firstLine="708"/>
        <w:spacing w:line="360" w:lineRule="auto"/>
      </w:pPr>
      <w:r>
        <w:rPr>
          <w:rFonts w:ascii="Times New Roman" w:hAnsi="Times New Roman"/>
          <w:sz w:val="28"/>
        </w:rPr>
        <w:t xml:space="preserve">где t_сраб.РЗ – собственное время срабатывания реле (0,02–0,05 с для цифровых устройств); t_откл.В – полное время отключения выключателя (0,06–0,15 с для вакуумных выключателей 10 кВ); t_запас – запас времени на погрешности (0,1–0,2 с).</w:t>
      </w:r>
    </w:p>
    <w:p>
      <w:pPr>
        <w:jc w:val="both"/>
        <w:ind w:firstLine="708"/>
        <w:spacing w:line="360" w:lineRule="auto"/>
      </w:pPr>
      <w:r>
        <w:rPr>
          <w:rFonts w:ascii="Times New Roman" w:hAnsi="Times New Roman"/>
          <w:sz w:val="28"/>
        </w:rPr>
        <w:t xml:space="preserve">Для фидера 10 кВ с двигательной нагрузкой типовая карта селективности защит может выглядеть следующим образом:</w:t>
      </w:r>
    </w:p>
    <w:p>
      <w:pPr>
        <w:jc w:val="center"/>
        <w:spacing w:after="120"/>
      </w:pPr>
      <w:r>
        <w:rPr>
          <w:rFonts w:ascii="Times New Roman" w:hAnsi="Times New Roman"/>
          <w:sz w:val="24"/>
          <w:b/>
        </w:rPr>
        <w:t>Таблица 6. Карта селективности защит фидера 10 кВ</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Ступень защиты</w:t>
            </w:r>
          </w:p>
        </w:tc>
        <w:tc>
          <w:tcPr>
            <w:vAlign w:val="center"/>
          </w:tcPr>
          <w:p>
            <w:pPr>
              <w:jc w:val="center"/>
            </w:pPr>
            <w:r>
              <w:rPr>
                <w:rFonts w:ascii="Times New Roman"/>
                <w:sz w:val="24"/>
                <w:b/>
              </w:rPr>
              <w:t>Тип защиты</w:t>
            </w:r>
          </w:p>
        </w:tc>
        <w:tc>
          <w:tcPr>
            <w:vAlign w:val="center"/>
          </w:tcPr>
          <w:p>
            <w:pPr>
              <w:jc w:val="center"/>
            </w:pPr>
            <w:r>
              <w:rPr>
                <w:rFonts w:ascii="Times New Roman"/>
                <w:sz w:val="24"/>
                <w:b/>
              </w:rPr>
              <w:t>Выдержка времени, с</w:t>
            </w:r>
          </w:p>
        </w:tc>
        <w:tc>
          <w:tcPr>
            <w:vAlign w:val="center"/>
          </w:tcPr>
          <w:p>
            <w:pPr>
              <w:jc w:val="center"/>
            </w:pPr>
            <w:r>
              <w:rPr>
                <w:rFonts w:ascii="Times New Roman"/>
                <w:sz w:val="24"/>
                <w:b/>
              </w:rPr>
              <w:t>Назначение</w:t>
            </w:r>
          </w:p>
        </w:tc>
      </w:tr>
      <w:tr>
        <w:tc>
          <w:tcPr>
            <w:vAlign w:val="center"/>
          </w:tcPr>
          <w:p>
            <w:pPr>
              <w:jc w:val="center"/>
            </w:pPr>
            <w:r>
              <w:rPr>
                <w:rFonts w:ascii="Times New Roman"/>
                <w:sz w:val="24"/>
              </w:rPr>
              <w:t>I ступень (мгновенная)</w:t>
            </w:r>
          </w:p>
        </w:tc>
        <w:tc>
          <w:tcPr>
            <w:vAlign w:val="center"/>
          </w:tcPr>
          <w:p>
            <w:pPr>
              <w:jc w:val="center"/>
            </w:pPr>
            <w:r>
              <w:rPr>
                <w:rFonts w:ascii="Times New Roman"/>
                <w:sz w:val="24"/>
              </w:rPr>
              <w:t>Токовая отсечка</w:t>
            </w:r>
          </w:p>
        </w:tc>
        <w:tc>
          <w:tcPr>
            <w:vAlign w:val="center"/>
          </w:tcPr>
          <w:p>
            <w:pPr>
              <w:jc w:val="center"/>
            </w:pPr>
            <w:r>
              <w:rPr>
                <w:rFonts w:ascii="Times New Roman"/>
                <w:sz w:val="24"/>
              </w:rPr>
              <w:t>0</w:t>
            </w:r>
          </w:p>
        </w:tc>
        <w:tc>
          <w:tcPr>
            <w:vAlign w:val="center"/>
          </w:tcPr>
          <w:p>
            <w:pPr>
              <w:jc w:val="center"/>
            </w:pPr>
            <w:r>
              <w:rPr>
                <w:rFonts w:ascii="Times New Roman"/>
                <w:sz w:val="24"/>
              </w:rPr>
              <w:t>Защита от КЗ в начале линии</w:t>
            </w:r>
          </w:p>
        </w:tc>
      </w:tr>
      <w:tr>
        <w:tc>
          <w:tcPr>
            <w:vAlign w:val="center"/>
          </w:tcPr>
          <w:p>
            <w:pPr>
              <w:jc w:val="center"/>
            </w:pPr>
            <w:r>
              <w:rPr>
                <w:rFonts w:ascii="Times New Roman"/>
                <w:sz w:val="24"/>
              </w:rPr>
              <w:t>II ступень</w:t>
            </w:r>
          </w:p>
        </w:tc>
        <w:tc>
          <w:tcPr>
            <w:vAlign w:val="center"/>
          </w:tcPr>
          <w:p>
            <w:pPr>
              <w:jc w:val="center"/>
            </w:pPr>
            <w:r>
              <w:rPr>
                <w:rFonts w:ascii="Times New Roman"/>
                <w:sz w:val="24"/>
              </w:rPr>
              <w:t>МТЗ с независимой характеристикой</w:t>
            </w:r>
          </w:p>
        </w:tc>
        <w:tc>
          <w:tcPr>
            <w:vAlign w:val="center"/>
          </w:tcPr>
          <w:p>
            <w:pPr>
              <w:jc w:val="center"/>
            </w:pPr>
            <w:r>
              <w:rPr>
                <w:rFonts w:ascii="Times New Roman"/>
                <w:sz w:val="24"/>
              </w:rPr>
              <w:t>0,5–1,0</w:t>
            </w:r>
          </w:p>
        </w:tc>
        <w:tc>
          <w:tcPr>
            <w:vAlign w:val="center"/>
          </w:tcPr>
          <w:p>
            <w:pPr>
              <w:jc w:val="center"/>
            </w:pPr>
            <w:r>
              <w:rPr>
                <w:rFonts w:ascii="Times New Roman"/>
                <w:sz w:val="24"/>
              </w:rPr>
              <w:t>Защита от КЗ по всей длине линии</w:t>
            </w:r>
          </w:p>
        </w:tc>
      </w:tr>
      <w:tr>
        <w:tc>
          <w:tcPr>
            <w:vAlign w:val="center"/>
          </w:tcPr>
          <w:p>
            <w:pPr>
              <w:jc w:val="center"/>
            </w:pPr>
            <w:r>
              <w:rPr>
                <w:rFonts w:ascii="Times New Roman"/>
                <w:sz w:val="24"/>
              </w:rPr>
              <w:t>III ступень</w:t>
            </w:r>
          </w:p>
        </w:tc>
        <w:tc>
          <w:tcPr>
            <w:vAlign w:val="center"/>
          </w:tcPr>
          <w:p>
            <w:pPr>
              <w:jc w:val="center"/>
            </w:pPr>
            <w:r>
              <w:rPr>
                <w:rFonts w:ascii="Times New Roman"/>
                <w:sz w:val="24"/>
              </w:rPr>
              <w:t>МТЗ с зависимой характеристикой</w:t>
            </w:r>
          </w:p>
        </w:tc>
        <w:tc>
          <w:tcPr>
            <w:vAlign w:val="center"/>
          </w:tcPr>
          <w:p>
            <w:pPr>
              <w:jc w:val="center"/>
            </w:pPr>
            <w:r>
              <w:rPr>
                <w:rFonts w:ascii="Times New Roman"/>
                <w:sz w:val="24"/>
              </w:rPr>
              <w:t>1,5–3,0</w:t>
            </w:r>
          </w:p>
        </w:tc>
        <w:tc>
          <w:tcPr>
            <w:vAlign w:val="center"/>
          </w:tcPr>
          <w:p>
            <w:pPr>
              <w:jc w:val="center"/>
            </w:pPr>
            <w:r>
              <w:rPr>
                <w:rFonts w:ascii="Times New Roman"/>
                <w:sz w:val="24"/>
              </w:rPr>
              <w:t>Резервная защита и защита от перегрузки</w:t>
            </w:r>
          </w:p>
        </w:tc>
      </w:tr>
      <w:tr>
        <w:tc>
          <w:tcPr>
            <w:vAlign w:val="center"/>
          </w:tcPr>
          <w:p>
            <w:pPr>
              <w:jc w:val="center"/>
            </w:pPr>
            <w:r>
              <w:rPr>
                <w:rFonts w:ascii="Times New Roman"/>
                <w:sz w:val="24"/>
              </w:rPr>
              <w:t>Защита от ОЗЗ</w:t>
            </w:r>
          </w:p>
        </w:tc>
        <w:tc>
          <w:tcPr>
            <w:vAlign w:val="center"/>
          </w:tcPr>
          <w:p>
            <w:pPr>
              <w:jc w:val="center"/>
            </w:pPr>
            <w:r>
              <w:rPr>
                <w:rFonts w:ascii="Times New Roman"/>
                <w:sz w:val="24"/>
              </w:rPr>
              <w:t>Направленная защита нулевой последовательности</w:t>
            </w:r>
          </w:p>
        </w:tc>
        <w:tc>
          <w:tcPr>
            <w:vAlign w:val="center"/>
          </w:tcPr>
          <w:p>
            <w:pPr>
              <w:jc w:val="center"/>
            </w:pPr>
            <w:r>
              <w:rPr>
                <w:rFonts w:ascii="Times New Roman"/>
                <w:sz w:val="24"/>
              </w:rPr>
              <w:t>5–10</w:t>
            </w:r>
          </w:p>
        </w:tc>
        <w:tc>
          <w:tcPr>
            <w:vAlign w:val="center"/>
          </w:tcPr>
          <w:p>
            <w:pPr>
              <w:jc w:val="center"/>
            </w:pPr>
            <w:r>
              <w:rPr>
                <w:rFonts w:ascii="Times New Roman"/>
                <w:sz w:val="24"/>
              </w:rPr>
              <w:t>Защита от однофазных замыканий на землю</w:t>
            </w:r>
          </w:p>
        </w:tc>
      </w:tr>
      <w:tr>
        <w:tc>
          <w:tcPr>
            <w:vAlign w:val="center"/>
          </w:tcPr>
          <w:p>
            <w:pPr>
              <w:jc w:val="center"/>
            </w:pPr>
            <w:r>
              <w:rPr>
                <w:rFonts w:ascii="Times New Roman"/>
                <w:sz w:val="24"/>
              </w:rPr>
              <w:t>Защита минимального напряжения</w:t>
            </w:r>
          </w:p>
        </w:tc>
        <w:tc>
          <w:tcPr>
            <w:vAlign w:val="center"/>
          </w:tcPr>
          <w:p>
            <w:pPr>
              <w:jc w:val="center"/>
            </w:pPr>
            <w:r>
              <w:rPr>
                <w:rFonts w:ascii="Times New Roman"/>
                <w:sz w:val="24"/>
              </w:rPr>
              <w:t>Реле минимального напряжения</w:t>
            </w:r>
          </w:p>
        </w:tc>
        <w:tc>
          <w:tcPr>
            <w:vAlign w:val="center"/>
          </w:tcPr>
          <w:p>
            <w:pPr>
              <w:jc w:val="center"/>
            </w:pPr>
            <w:r>
              <w:rPr>
                <w:rFonts w:ascii="Times New Roman"/>
                <w:sz w:val="24"/>
              </w:rPr>
              <w:t>0,5–1,5</w:t>
            </w:r>
          </w:p>
        </w:tc>
        <w:tc>
          <w:tcPr>
            <w:vAlign w:val="center"/>
          </w:tcPr>
          <w:p>
            <w:pPr>
              <w:jc w:val="center"/>
            </w:pPr>
            <w:r>
              <w:rPr>
                <w:rFonts w:ascii="Times New Roman"/>
                <w:sz w:val="24"/>
              </w:rPr>
              <w:t>Защита от недопустимого снижения напряжения</w:t>
            </w:r>
          </w:p>
        </w:tc>
      </w:tr>
    </w:tbl>
    <w:p>
      <w:r>
        <w:t/>
      </w:r>
    </w:p>
    <w:p>
      <w:pPr>
        <w:jc w:val="both"/>
        <w:ind w:firstLine="708"/>
        <w:spacing w:line="360" w:lineRule="auto"/>
      </w:pPr>
      <w:r>
        <w:rPr>
          <w:rFonts w:ascii="Times New Roman" w:hAnsi="Times New Roman"/>
          <w:sz w:val="28"/>
        </w:rPr>
        <w:t xml:space="preserve">При расчете выдержек времени необходимо учитывать максимальное число последовательно установленных защит на пути от точки короткого замыкания до источника питания. Для сложных схем с несколькими уровнями напряжения суммарная выдержка времени может достигать нескольких секунд, что требует проверки термической стойкости оборудования и кабелей.</w:t>
      </w:r>
    </w:p>
    <w:p>
      <w:pPr>
        <w:jc w:val="both"/>
        <w:ind w:firstLine="708"/>
        <w:spacing w:line="360" w:lineRule="auto"/>
      </w:pPr>
      <w:r>
        <w:rPr>
          <w:rFonts w:ascii="Times New Roman" w:hAnsi="Times New Roman"/>
          <w:sz w:val="28"/>
        </w:rPr>
        <w:t xml:space="preserve">Особое внимание следует уделить согласованию защит фидера с защитами электродвигателей. Защита двигателя должна срабатывать быстрее, чем защита питающего фидера, при повреждениях внутри двигателя или на его выводах. Типовая выдержка времени защиты двигателя составляет 0,1–0,3 секунды, что обеспечивает селективность с защитой фидера при соблюдении ступени селективности 0,3–0,5 секунды.</w:t>
      </w:r>
    </w:p>
    <w:p>
      <w:pPr>
        <w:jc w:val="both"/>
        <w:ind w:firstLine="708"/>
        <w:spacing w:line="360" w:lineRule="auto"/>
      </w:pPr>
      <w:r>
        <w:rPr>
          <w:rFonts w:ascii="Times New Roman" w:hAnsi="Times New Roman"/>
          <w:sz w:val="28"/>
        </w:rPr>
        <w:t xml:space="preserve">Для повышения быстродействия защиты при близких коротких замыканиях применяется токовая отсечка без выдержки времени (I ступень защиты). Уставка токовой отсечки выбирается из условия отстройки от максимального тока короткого замыкания в конце защищаемой зоны с учетом коэффициента запаса:</w:t>
      </w:r>
    </w:p>
    <w:p>
      <w:pPr>
        <w:jc w:val="both"/>
        <w:ind w:firstLine="708"/>
        <w:spacing w:line="360" w:lineRule="auto"/>
      </w:pPr>
      <w:r>
        <w:rPr>
          <w:rFonts w:ascii="Times New Roman" w:hAnsi="Times New Roman"/>
          <w:sz w:val="28"/>
        </w:rPr>
        <w:t xml:space="preserve">I_уст.ТО = k_отс × I_КЗ.макс</w:t>
      </w:r>
    </w:p>
    <w:p>
      <w:pPr>
        <w:jc w:val="both"/>
        <w:ind w:firstLine="708"/>
        <w:spacing w:line="360" w:lineRule="auto"/>
      </w:pPr>
      <w:r>
        <w:rPr>
          <w:rFonts w:ascii="Times New Roman" w:hAnsi="Times New Roman"/>
          <w:sz w:val="28"/>
        </w:rPr>
        <w:t xml:space="preserve">где k_отс – коэффициент отстройки (1,2–1,5 для реле с независимой характеристикой); I_КЗ.макс – максимальный ток трехфазного короткого замыкания в конце защищаемой зоны при максимальном режиме работы системы.</w:t>
      </w:r>
    </w:p>
    <w:p>
      <w:pPr>
        <w:jc w:val="both"/>
        <w:ind w:firstLine="708"/>
        <w:spacing w:line="360" w:lineRule="auto"/>
      </w:pPr>
      <w:r>
        <w:rPr>
          <w:rFonts w:ascii="Times New Roman" w:hAnsi="Times New Roman"/>
          <w:sz w:val="28"/>
        </w:rPr>
        <w:t xml:space="preserve">Зона действия токовой отсечки обычно охватывает 15–20% длины линии от места установки защиты. Для обеспечения защиты всей линии применяется II ступень защиты – максимальная токовая защита с выдержкой времени, согласованной с защитами нижестоящих элементов. Уставка II ступени выбирается из условия отстройки от пусковых токов электродвигателей и обеспечения чувствительности к минимальным токам короткого замыкания в конце линии</w:t>
      </w:r>
      <w:hyperlink w:anchor="_Source_12">
        <w:r>
          <w:rPr>
            <w:rFonts w:ascii="Times New Roman" w:hAnsi="Times New Roman"/>
            <w:sz w:val="28"/>
            <w:rStyle w:val="Hyperlink"/>
          </w:rPr>
          <w:t>[12]</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Проверка чувствительности защиты выполняется путем расчета коэффициента чувствительности:</w:t>
      </w:r>
    </w:p>
    <w:p>
      <w:pPr>
        <w:jc w:val="both"/>
        <w:ind w:firstLine="708"/>
        <w:spacing w:line="360" w:lineRule="auto"/>
      </w:pPr>
      <w:r>
        <w:rPr>
          <w:rFonts w:ascii="Times New Roman" w:hAnsi="Times New Roman"/>
          <w:sz w:val="28"/>
        </w:rPr>
        <w:t xml:space="preserve">k_ч = I_КЗ.мин / I_уст</w:t>
      </w:r>
    </w:p>
    <w:p>
      <w:pPr>
        <w:jc w:val="both"/>
        <w:ind w:firstLine="708"/>
        <w:spacing w:line="360" w:lineRule="auto"/>
      </w:pPr>
      <w:r>
        <w:rPr>
          <w:rFonts w:ascii="Times New Roman" w:hAnsi="Times New Roman"/>
          <w:sz w:val="28"/>
        </w:rPr>
        <w:t xml:space="preserve">где I_КЗ.мин – минимальный ток короткого замыкания в конце защищаемой зоны при минимальном режиме работы системы; I_уст – уставка срабатывания защиты.</w:t>
      </w:r>
    </w:p>
    <w:p>
      <w:pPr>
        <w:jc w:val="both"/>
        <w:ind w:firstLine="708"/>
        <w:spacing w:line="360" w:lineRule="auto"/>
      </w:pPr>
      <w:r>
        <w:rPr>
          <w:rFonts w:ascii="Times New Roman" w:hAnsi="Times New Roman"/>
          <w:sz w:val="28"/>
        </w:rPr>
        <w:t xml:space="preserve">Согласно нормативным требованиям, коэффициент чувствительности основной защиты должен быть не менее 1,5, а резервной защиты – не менее 1,2. При недостаточной чувствительности токовых защит следует применять дистанционные защиты или дифференциальные защиты с продольной схемой, обеспечивающие абсолютную селективность и высокую чувствительность независимо от режима работы системы</w:t>
      </w:r>
      <w:hyperlink w:anchor="_Source_10">
        <w:r>
          <w:rPr>
            <w:rFonts w:ascii="Times New Roman" w:hAnsi="Times New Roman"/>
            <w:sz w:val="28"/>
            <w:rStyle w:val="Hyperlink"/>
          </w:rPr>
          <w:t>[10]</w:t>
        </w:r>
      </w:hyperlink>
      <w:r>
        <w:rPr>
          <w:rFonts w:ascii="Times New Roman" w:hAnsi="Times New Roman"/>
          <w:sz w:val="28"/>
        </w:rPr>
        <w:t xml:space="preserve">.</w:t>
      </w:r>
    </w:p>
    <w:p>
      <w:r>
        <w:t/>
      </w:r>
    </w:p>
    <w:p>
      <w:pPr>
        <w:pStyle w:val="Heading1"/>
        <w:jc w:val="center"/>
        <w:spacing w:before="240" w:after="240"/>
      </w:pPr>
      <w:r>
        <w:rPr>
          <w:rFonts w:ascii="Times New Roman" w:hAnsi="Times New Roman"/>
          <w:b/>
          <w:sz w:val="28"/>
        </w:rPr>
        <w:t xml:space="preserve">ПРОВЕРКА СЕЛЕКТИВНОСТИ ДЕЙСТВИЯ РЕЛЕЙНОЙ ЗАЩИТЫ</w:t>
      </w:r>
    </w:p>
    <w:p>
      <w:pPr>
        <w:jc w:val="both"/>
        <w:ind w:firstLine="708"/>
        <w:spacing w:line="360" w:lineRule="auto"/>
      </w:pPr>
      <w:r>
        <w:rPr>
          <w:rFonts w:ascii="Times New Roman" w:hAnsi="Times New Roman"/>
          <w:sz w:val="28"/>
        </w:rPr>
        <w:t xml:space="preserve">Селективность действия релейной защиты является одним из основополагающих принципов построения систем защиты электроустановок. Под селективностью понимается способность защиты выявлять и отключать только поврежденный элемент сети при сохранении в работе неповрежденных участков. Обеспечение селективности особенно важно для распределительных сетей 10 кВ с двигательной нагрузкой, где неселективное отключение может привести к остановке технологического процесса и значительным экономическим потерям. В данном разделе рассматриваются методы проверки селективности защит фидера 10 кВ, включая анализ токовых уставок, временных характеристик и построение карты селективности.</w:t>
      </w:r>
    </w:p>
    <w:p>
      <w:pPr>
        <w:pStyle w:val="Heading2"/>
        <w:spacing w:before="240" w:after="120"/>
      </w:pPr>
      <w:r>
        <w:rPr>
          <w:rFonts w:ascii="Times New Roman" w:hAnsi="Times New Roman"/>
          <w:b/>
          <w:sz w:val="28"/>
        </w:rPr>
        <w:t xml:space="preserve">Принципы обеспечения селективности защит в сетях 10 кВ</w:t>
      </w:r>
    </w:p>
    <w:p>
      <w:pPr>
        <w:jc w:val="both"/>
        <w:ind w:firstLine="708"/>
        <w:spacing w:line="360" w:lineRule="auto"/>
      </w:pPr>
      <w:r>
        <w:rPr>
          <w:rFonts w:ascii="Times New Roman" w:hAnsi="Times New Roman"/>
          <w:sz w:val="28"/>
        </w:rPr>
        <w:t xml:space="preserve">Селективность релейной защиты в распределительных сетях 10 кВ обеспечивается совокупностью организационных и технических мер, направленных на четкое разграничение зон действия защитных устройств. Основными принципами обеспечения селективности являются токовая селективность, временная селективность и логическая селективность.</w:t>
      </w:r>
    </w:p>
    <w:p>
      <w:pPr>
        <w:jc w:val="both"/>
        <w:ind w:firstLine="708"/>
        <w:spacing w:line="360" w:lineRule="auto"/>
      </w:pPr>
      <w:r>
        <w:rPr>
          <w:rFonts w:ascii="Times New Roman" w:hAnsi="Times New Roman"/>
          <w:sz w:val="28"/>
        </w:rPr>
        <w:t xml:space="preserve">Токовая селективность основана на различии токов короткого замыкания в разных точках сети. По мере удаления от источника питания ток КЗ уменьшается из-за возрастания сопротивления питающей сети. Защиты устанавливаются таким образом, чтобы уставка по току каждой последующей ступени была выше уставки предыдущей с учетом коэффициента селективности. Данный принцип эффективен в радиальных сетях с односторонним питанием, где топология обеспечивает монотонное убывание токов КЗ</w:t>
      </w:r>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Временная селективность реализуется путем согласования выдержек времени срабатывания защит различных ступеней. Защита, расположенная ближе к месту повреждения, имеет меньшую выдержку времени и срабатывает первой. Если по каким-либо причинам она не сработала, через определенный интервал времени срабатывает резервная защита вышестоящего уровня. Ступень селективности по времени обычно составляет 0,3–0,5 секунды и включает собственное время срабатывания защиты, время действия выключателя и запас на погрешности измерительных органов</w:t>
      </w:r>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Логическая селективность применяется в современных микропроцессорных устройствах защиты и основана на обмене информацией между защитами различных уровней. При возникновении повреждения защита передает сигнал блокировки на вышестоящий уровень, предотвращая его срабатывание. Этот метод позволяет обеспечить абсолютную селективность без выдержек времени, что особенно важно для защиты электродвигателей, чувствительных к длительности протекания токов КЗ.</w:t>
      </w:r>
    </w:p>
    <w:p>
      <w:pPr>
        <w:jc w:val="both"/>
        <w:ind w:firstLine="708"/>
        <w:spacing w:line="360" w:lineRule="auto"/>
      </w:pPr>
      <w:r>
        <w:rPr>
          <w:rFonts w:ascii="Times New Roman" w:hAnsi="Times New Roman"/>
          <w:sz w:val="28"/>
        </w:rPr>
        <w:t xml:space="preserve">В сетях с инверторными источниками распределенной генерации обеспечение селективности усложняется из-за изменения характера токов короткого замыкания. Инверторные источники ограничивают ток КЗ на уровне 1,1–1,5 номинального тока, что может приводить к отказу традиционных токовых защит</w:t>
      </w:r>
      <w:hyperlink w:anchor="_Source_14">
        <w:r>
          <w:rPr>
            <w:rFonts w:ascii="Times New Roman" w:hAnsi="Times New Roman"/>
            <w:sz w:val="28"/>
            <w:rStyle w:val="Hyperlink"/>
          </w:rPr>
          <w:t>[14]</w:t>
        </w:r>
      </w:hyperlink>
      <w:hyperlink w:anchor="_Source_15">
        <w:r>
          <w:rPr>
            <w:rFonts w:ascii="Times New Roman" w:hAnsi="Times New Roman"/>
            <w:sz w:val="28"/>
            <w:rStyle w:val="Hyperlink"/>
          </w:rPr>
          <w:t>[15]</w:t>
        </w:r>
      </w:hyperlink>
      <w:r>
        <w:rPr>
          <w:rFonts w:ascii="Times New Roman" w:hAnsi="Times New Roman"/>
          <w:sz w:val="28"/>
        </w:rPr>
        <w:t xml:space="preserve">. В таких условиях необходимо применение адаптивных алгоритмов защиты, учитывающих топологию сети и режим работы распределенных источников.</w:t>
      </w:r>
    </w:p>
    <w:p>
      <w:pPr>
        <w:jc w:val="both"/>
        <w:ind w:firstLine="708"/>
        <w:spacing w:line="360" w:lineRule="auto"/>
      </w:pPr>
      <w:r>
        <w:rPr>
          <w:rFonts w:ascii="Times New Roman" w:hAnsi="Times New Roman"/>
          <w:sz w:val="28"/>
        </w:rPr>
        <w:t xml:space="preserve">Для фидеров с двигательной нагрузкой необходимо учитывать подпитку места КЗ от синхронных и асинхронных двигателей. В начальный момент короткого замыкания двигатели переходят в генераторный режим, создавая дополнительную составляющую тока повреждения. Величина подпитки зависит от мощности двигателей, их удаленности от места КЗ и быстро затухает в течение 0,1–0,3 секунды. Это явление должно учитываться при выборе уставок максимальной токовой защиты для обеспечения надежной селективности</w:t>
      </w:r>
      <w:hyperlink w:anchor="_Source_14">
        <w:r>
          <w:rPr>
            <w:rFonts w:ascii="Times New Roman" w:hAnsi="Times New Roman"/>
            <w:sz w:val="28"/>
            <w:rStyle w:val="Hyperlink"/>
          </w:rPr>
          <w:t>[14]</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Проверка селективности по току</w:t>
      </w:r>
    </w:p>
    <w:p>
      <w:pPr>
        <w:jc w:val="both"/>
        <w:ind w:firstLine="708"/>
        <w:spacing w:line="360" w:lineRule="auto"/>
      </w:pPr>
      <w:r>
        <w:rPr>
          <w:rFonts w:ascii="Times New Roman" w:hAnsi="Times New Roman"/>
          <w:sz w:val="28"/>
        </w:rPr>
        <w:t xml:space="preserve">Проверка селективности по току заключается в анализе соотношения токовых уставок защит различных ступеней и сравнении их с расчетными токами короткого замыкания в характерных точках сети. Целью проверки является подтверждение того, что при повреждении на защищаемом участке сработает только соответствующая защита, а защиты вышестоящих уровней останутся в режиме ожидания.</w:t>
      </w:r>
    </w:p>
    <w:p>
      <w:pPr>
        <w:jc w:val="both"/>
        <w:ind w:firstLine="708"/>
        <w:spacing w:line="360" w:lineRule="auto"/>
      </w:pPr>
      <w:r>
        <w:rPr>
          <w:rFonts w:ascii="Times New Roman" w:hAnsi="Times New Roman"/>
          <w:sz w:val="28"/>
        </w:rPr>
        <w:t xml:space="preserve">Основным критерием токовой селективности является выполнение условия согласования уставок смежных защит. Для максимальной токовой защиты уставка вышестоящей ступени должна превышать уставку нижестоящей с учетом коэффициента селективности. Коэффициент селективности принимается в диапазоне 1,1–1,25 и учитывает погрешности измерительных трансформаторов тока, разброс параметров реле и возможные изменения режима работы сети.</w:t>
      </w:r>
    </w:p>
    <w:p>
      <w:pPr>
        <w:jc w:val="both"/>
        <w:ind w:firstLine="708"/>
        <w:spacing w:line="360" w:lineRule="auto"/>
      </w:pPr>
      <w:r>
        <w:rPr>
          <w:rFonts w:ascii="Times New Roman" w:hAnsi="Times New Roman"/>
          <w:sz w:val="28"/>
        </w:rPr>
        <w:t xml:space="preserve">При проверке селективности необходимо рассмотреть различные виды коротких замыканий: трехфазные, двухфазные и однофазные. Для каждого вида КЗ рассчитываются токи в характерных точках сети и сравниваются с уставками защит. Наиболее опасным с точки зрения селективности является трехфазное КЗ в конце защищаемой зоны, когда ток повреждения имеет минимальное значение. Если при таком повреждении защита надежно срабатывает, а вышестоящая защита не реагирует, условие токовой селективности считается выполненным.</w:t>
      </w:r>
    </w:p>
    <w:p>
      <w:pPr>
        <w:jc w:val="both"/>
        <w:ind w:firstLine="708"/>
        <w:spacing w:line="360" w:lineRule="auto"/>
      </w:pPr>
      <w:r>
        <w:rPr>
          <w:rFonts w:ascii="Times New Roman" w:hAnsi="Times New Roman"/>
          <w:sz w:val="28"/>
        </w:rPr>
        <w:t xml:space="preserve">Для сетей с двигательной нагрузкой проверка селективности усложняется необходимостью учета подпитки от электродвигателей. Ток подпитки складывается с током от питающей системы, что может привести к ложному срабатыванию вышестоящей защиты. Для предотвращения этого уставка вышестоящей защиты должна отстраиваться не только от уставки нижестоящей, но и от максимально возможного тока с учетом подпитки от двигателей в зоне действия нижестоящей защиты.</w:t>
      </w:r>
    </w:p>
    <w:p>
      <w:pPr>
        <w:jc w:val="both"/>
        <w:ind w:firstLine="708"/>
        <w:spacing w:line="360" w:lineRule="auto"/>
      </w:pPr>
      <w:r>
        <w:rPr>
          <w:rFonts w:ascii="Times New Roman" w:hAnsi="Times New Roman"/>
          <w:sz w:val="28"/>
        </w:rPr>
        <w:t xml:space="preserve">Особое внимание при проверке селективности уделяется граничным режимам работы сети. К таким режимам относятся минимальный и максимальный режимы генерации, различные схемы электроснабжения при выводе оборудования в ремонт, а также переходные процессы при пуске мощных электродвигателей. Защита должна сохранять селективность во всех возможных эксплуатационных режимах, что требует тщательного анализа и возможного применения адаптивных алгоритмов</w:t>
      </w:r>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В современных микропроцессорных устройствах релейной защиты реализуются сложные характеристики срабатывания, включающие несколько токовых ступеней с различными выдержками времени. Проверка селективности для таких устройств включает анализ всех ступеней защиты и их взаимодействия с защитами смежных присоединений. Каждая ступень должна иметь четко определенную зону действия, не перекрывающую зоны действия других защит без обеспечения временной селективности.</w:t>
      </w:r>
    </w:p>
    <w:p>
      <w:pPr>
        <w:jc w:val="both"/>
        <w:ind w:firstLine="708"/>
        <w:spacing w:line="360" w:lineRule="auto"/>
      </w:pPr>
      <w:r>
        <w:rPr>
          <w:rFonts w:ascii="Times New Roman" w:hAnsi="Times New Roman"/>
          <w:sz w:val="28"/>
        </w:rPr>
        <w:t xml:space="preserve">Для количественной оценки селективности используется коэффициент чувствительности, определяемый как отношение тока КЗ в расчетной точке к уставке срабатывания защиты. Согласно нормативным требованиям, коэффициент чувствительности основной защиты должен быть не менее 1,5, а резервной – не менее 1,2. Если коэффициент чувствительности недостаточен, необходимо пересмотреть уставки или применить дополнительные виды защит</w:t>
      </w:r>
      <w:hyperlink w:anchor="_Source_14">
        <w:r>
          <w:rPr>
            <w:rFonts w:ascii="Times New Roman" w:hAnsi="Times New Roman"/>
            <w:sz w:val="28"/>
            <w:rStyle w:val="Hyperlink"/>
          </w:rPr>
          <w:t>[14]</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Проверка селективности по времени</w:t>
      </w:r>
    </w:p>
    <w:p>
      <w:pPr>
        <w:jc w:val="both"/>
        <w:ind w:firstLine="708"/>
        <w:spacing w:line="360" w:lineRule="auto"/>
      </w:pPr>
      <w:r>
        <w:rPr>
          <w:rFonts w:ascii="Times New Roman" w:hAnsi="Times New Roman"/>
          <w:sz w:val="28"/>
        </w:rPr>
        <w:t xml:space="preserve">Временная селективность является вторым важнейшим принципом обеспечения избирательности действия релейной защиты. Проверка селективности по времени заключается в анализе временных характеристик защит различных уровней и подтверждении наличия достаточных интервалов между моментами срабатывания смежных защит.</w:t>
      </w:r>
    </w:p>
    <w:p>
      <w:pPr>
        <w:jc w:val="both"/>
        <w:ind w:firstLine="708"/>
        <w:spacing w:line="360" w:lineRule="auto"/>
      </w:pPr>
      <w:r>
        <w:rPr>
          <w:rFonts w:ascii="Times New Roman" w:hAnsi="Times New Roman"/>
          <w:sz w:val="28"/>
        </w:rPr>
        <w:t xml:space="preserve">Основой временной селективности является ступенчатое согласование выдержек времени защит. Защита, расположенная ближе к потребителю, должна иметь минимальную выдержку времени или работать без выдержки. Каждая последующая ступень защиты в направлении к источнику питания имеет выдержку времени, увеличенную на величину ступени селективности. Величина ступени селективности определяется суммой времени действия выключателя, собственного времени срабатывания защиты и запаса на погрешности.</w:t>
      </w:r>
    </w:p>
    <w:p>
      <w:pPr>
        <w:jc w:val="both"/>
        <w:ind w:firstLine="708"/>
        <w:spacing w:line="360" w:lineRule="auto"/>
      </w:pPr>
      <w:r>
        <w:rPr>
          <w:rFonts w:ascii="Times New Roman" w:hAnsi="Times New Roman"/>
          <w:sz w:val="28"/>
        </w:rPr>
        <w:t xml:space="preserve">Типовая ступень селективности для современных вакуумных выключателей и микропроцессорных защит составляет 0,3–0,4 секунды. Это значение включает время срабатывания защиты (0,02–0,04 с), время отключения выключателя (0,04–0,06 с для вакуумных выключателей) и запас на неточности (0,1–0,15 с). Для масляных выключателей с электромагнитными реле ступень селективности может достигать 0,5–0,6 секунды из-за большего времени отключения и погрешностей реле</w:t>
      </w:r>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При проверке временной селективности необходимо учитывать особенности работы защит с зависимыми время-токовыми характеристиками. Такие характеристики реализуются в большинстве современных микропроцессорных терминалов и обеспечивают уменьшение времени срабатывания при возрастании тока КЗ. Для защит с зависимыми характеристиками проверка селективности выполняется для нескольких значений тока повреждения, охватывающих весь диапазон возможных токов КЗ.</w:t>
      </w:r>
    </w:p>
    <w:p>
      <w:pPr>
        <w:jc w:val="both"/>
        <w:ind w:firstLine="708"/>
        <w:spacing w:line="360" w:lineRule="auto"/>
      </w:pPr>
      <w:r>
        <w:rPr>
          <w:rFonts w:ascii="Times New Roman" w:hAnsi="Times New Roman"/>
          <w:sz w:val="28"/>
        </w:rPr>
        <w:t xml:space="preserve">Стандартные время-токовые характеристики, используемые в микропроцессорных защитах, включают нормально-инверсную (Normal Inverse), очень инверсную (Very Inverse), чрезвычайно инверсную (Extremely Inverse) и длительно-инверсную (Long Time Inverse) характеристики. Выбор типа характеристики зависит от конфигурации сети, характера нагрузки и требований к быстродействию защиты. Для фидеров с двигательной нагрузкой часто применяются очень инверсные характеристики, обеспечивающие быстрое отключение при больших токах КЗ и отстройку от пусковых токов двигателей</w:t>
      </w:r>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Проверка временной селективности для защит с зависимыми характеристиками выполняется графически путем построения время-токовых характеристик всех защит на одном графике. Характеристики не должны пересекаться, а минимальный временной интервал между ними должен быть не менее величины ступени селективности во всем диапазоне токов. Если характеристики пересекаются, необходимо изменить параметры настройки защит или выбрать другой тип характеристики.</w:t>
      </w:r>
    </w:p>
    <w:p>
      <w:pPr>
        <w:jc w:val="both"/>
        <w:ind w:firstLine="708"/>
        <w:spacing w:line="360" w:lineRule="auto"/>
      </w:pPr>
      <w:r>
        <w:rPr>
          <w:rFonts w:ascii="Times New Roman" w:hAnsi="Times New Roman"/>
          <w:sz w:val="28"/>
        </w:rPr>
        <w:t xml:space="preserve">Особое внимание при проверке временной селективности уделяется взаимодействию быстродействующих и выдержанных ступеней защиты. Токовая отсечка, работающая без выдержки времени или с минимальной выдержкой 0,01–0,02 с, должна иметь зону действия, не выходящую за пределы защищаемого участка. Максимальная токовая защита с выдержкой времени обеспечивает резервирование токовой отсечки и защиту всего участка, включая зоны с меньшими токами КЗ.</w:t>
      </w:r>
    </w:p>
    <w:p>
      <w:pPr>
        <w:jc w:val="both"/>
        <w:ind w:firstLine="708"/>
        <w:spacing w:line="360" w:lineRule="auto"/>
      </w:pPr>
      <w:r>
        <w:rPr>
          <w:rFonts w:ascii="Times New Roman" w:hAnsi="Times New Roman"/>
          <w:sz w:val="28"/>
        </w:rPr>
        <w:t xml:space="preserve">Для сетей с распределенной генерацией на базе инверторных источников проверка временной селективности усложняется из-за изменения топологии сети при отключении источников. Защита должна сохранять селективность как при работе всех источников, так и при их частичном или полном отключении. Это может требовать применения адаптивных алгоритмов, изменяющих уставки защит в зависимости от конфигурации сети</w:t>
      </w:r>
      <w:hyperlink w:anchor="_Source_14">
        <w:r>
          <w:rPr>
            <w:rFonts w:ascii="Times New Roman" w:hAnsi="Times New Roman"/>
            <w:sz w:val="28"/>
            <w:rStyle w:val="Hyperlink"/>
          </w:rPr>
          <w:t>[14]</w:t>
        </w:r>
      </w:hyperlink>
      <w:hyperlink w:anchor="_Source_15">
        <w:r>
          <w:rPr>
            <w:rFonts w:ascii="Times New Roman" w:hAnsi="Times New Roman"/>
            <w:sz w:val="28"/>
            <w:rStyle w:val="Hyperlink"/>
          </w:rPr>
          <w:t>[15]</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Построение карты селективности защит</w:t>
      </w:r>
    </w:p>
    <w:p>
      <w:pPr>
        <w:jc w:val="both"/>
        <w:ind w:firstLine="708"/>
        <w:spacing w:line="360" w:lineRule="auto"/>
      </w:pPr>
      <w:r>
        <w:rPr>
          <w:rFonts w:ascii="Times New Roman" w:hAnsi="Times New Roman"/>
          <w:sz w:val="28"/>
        </w:rPr>
        <w:t xml:space="preserve">Карта селективности представляет собой графическое отображение время-токовых характеристик всех защит, установленных на фидере и смежных присоединениях. Построение карты селективности является завершающим этапом проверки согласования защит и позволяет наглядно оценить правильность выбора уставок и обеспечение селективности во всех режимах работы сети.</w:t>
      </w:r>
    </w:p>
    <w:p>
      <w:pPr>
        <w:jc w:val="both"/>
        <w:ind w:firstLine="708"/>
        <w:spacing w:line="360" w:lineRule="auto"/>
      </w:pPr>
      <w:r>
        <w:rPr>
          <w:rFonts w:ascii="Times New Roman" w:hAnsi="Times New Roman"/>
          <w:sz w:val="28"/>
        </w:rPr>
        <w:t xml:space="preserve">Карта селективности строится в логарифмических координатах, где по горизонтальной оси откладывается ток в логарифмическом масштабе, а по вертикальной – время срабатывания защиты. Такое представление позволяет на одном графике отобразить широкий диапазон токов и времен, характерных для различных режимов работы сети и типов повреждений. Логарифмический масштаб также удобен для отображения зависимых время-токовых характеристик, которые в этих координатах имеют вид плавных кривых.</w:t>
      </w:r>
    </w:p>
    <w:p>
      <w:pPr>
        <w:jc w:val="both"/>
        <w:ind w:firstLine="708"/>
        <w:spacing w:line="360" w:lineRule="auto"/>
      </w:pPr>
      <w:r>
        <w:rPr>
          <w:rFonts w:ascii="Times New Roman" w:hAnsi="Times New Roman"/>
          <w:sz w:val="28"/>
        </w:rPr>
        <w:t xml:space="preserve">На карту селективности наносятся характеристики всех защит фидера, начиная от защиты питающей подстанции и заканчивая защитами отходящих линий и электродвигателей. Для каждой защиты указывается тип характеристики, уставка по току срабатывания, выдержка времени и зона действия. Дополнительно на карту наносятся характеристики плавких предохранителей, если они применяются для защиты трансформаторов или электродвигателей.</w:t>
      </w:r>
    </w:p>
    <w:p>
      <w:pPr>
        <w:jc w:val="both"/>
        <w:ind w:firstLine="708"/>
        <w:spacing w:line="360" w:lineRule="auto"/>
      </w:pPr>
      <w:r>
        <w:rPr>
          <w:rFonts w:ascii="Times New Roman" w:hAnsi="Times New Roman"/>
          <w:sz w:val="28"/>
        </w:rPr>
        <w:t xml:space="preserve">Важным элементом карты селективности являются точки характерных режимов работы сети. К таким точкам относятся номинальный ток нагрузки, максимальный рабочий ток с учетом перегрузки, пусковой ток наиболее мощного электродвигателя, токи трехфазного и двухфазного КЗ в различных точках сети. Нанесение этих точек на карту позволяет визуально оценить отстройку защит от рабочих режимов и обеспечение чувствительности при повреждениях</w:t>
      </w:r>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При построении карты селективности для фидера с двигательной нагрузкой необходимо учитывать подпитку места КЗ от электродвигателей. Для этого на карту наносятся дополнительные точки, соответствующие токам КЗ с учетом подпитки. Если ток подпитки значителен, он может изменить селективность действия защит, что требует корректировки уставок. Особенно важно учитывать подпитку при настройке токовых отсечек, зона действия которых не должна выходить за пределы защищаемого участка даже при максимальной подпитке от двигателей.</w:t>
      </w:r>
    </w:p>
    <w:p>
      <w:pPr>
        <w:jc w:val="both"/>
        <w:ind w:firstLine="708"/>
        <w:spacing w:line="360" w:lineRule="auto"/>
      </w:pPr>
      <w:r>
        <w:rPr>
          <w:rFonts w:ascii="Times New Roman" w:hAnsi="Times New Roman"/>
          <w:sz w:val="28"/>
        </w:rPr>
        <w:t xml:space="preserve">Для сетей с несколькими уровнями напряжения карта селективности строится с приведением всех токов к одному уровню напряжения, обычно к стороне высшего напряжения питающего трансформатора. Приведение выполняется с учетом коэффициентов трансформации и схем соединения обмоток трансформаторов. Это позволяет на одном графике отобразить защиты различных уровней и оценить их взаимодействие при сквозных повреждениях.</w:t>
      </w:r>
    </w:p>
    <w:p>
      <w:pPr>
        <w:jc w:val="both"/>
        <w:ind w:firstLine="708"/>
        <w:spacing w:line="360" w:lineRule="auto"/>
      </w:pPr>
      <w:r>
        <w:rPr>
          <w:rFonts w:ascii="Times New Roman" w:hAnsi="Times New Roman"/>
          <w:sz w:val="28"/>
        </w:rPr>
        <w:t xml:space="preserve">Современные программные комплексы для расчета релейной защиты позволяют автоматизировать построение карт селективности и выполнять проверку согласования защит в различных режимах работы сети. Такие программы включают базы данных время-токовых характеристик защитных устройств различных производителей, алгоритмы расчета токов КЗ с учетом подпитки от двигателей и распределенной генерации, а также средства визуализации результатов. Использование специализированного программного обеспечения значительно ускоряет процесс проектирования защиты и повышает качество проектных решений</w:t>
      </w:r>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Анализ карты селективности позволяет выявить возможные проблемы согласования защит, такие как пересечение характеристик, недостаточные ступени селективности, неполное покрытие защищаемой зоны или избыточное время отключения повреждений. При обнаружении таких проблем необходимо пересмотреть уставки защит, выбрать другие типы время-токовых характеристик или применить дополнительные виды защит. В некоторых случаях может потребоваться изменение конфигурации сети или установка дополнительного оборудования, например, токоограничивающих реакторов.</w:t>
      </w:r>
    </w:p>
    <w:p>
      <w:pPr>
        <w:jc w:val="both"/>
        <w:ind w:firstLine="708"/>
        <w:spacing w:line="360" w:lineRule="auto"/>
      </w:pPr>
      <w:r>
        <w:rPr>
          <w:rFonts w:ascii="Times New Roman" w:hAnsi="Times New Roman"/>
          <w:sz w:val="28"/>
        </w:rPr>
        <w:t xml:space="preserve">Карта селективности является не только инструментом проектирования, но и эксплуатационным документом, используемым персоналом подстанции для анализа действия защит при авариях. После каждого срабатывания защиты рекомендуется проверить соответствие фактических параметров срабатывания расчетным значениям на карте селективности. Систематические отклонения могут указывать на изменение параметров сети, неисправность защитного оборудования или необходимость корректировки уставок</w:t>
      </w:r>
      <w:hyperlink w:anchor="_Source_14">
        <w:r>
          <w:rPr>
            <w:rFonts w:ascii="Times New Roman" w:hAnsi="Times New Roman"/>
            <w:sz w:val="28"/>
            <w:rStyle w:val="Hyperlink"/>
          </w:rPr>
          <w:t>[14]</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Анализ результатов проверки селективности</w:t>
      </w:r>
    </w:p>
    <w:p>
      <w:pPr>
        <w:jc w:val="both"/>
        <w:ind w:firstLine="708"/>
        <w:spacing w:line="360" w:lineRule="auto"/>
      </w:pPr>
      <w:r>
        <w:rPr>
          <w:rFonts w:ascii="Times New Roman" w:hAnsi="Times New Roman"/>
          <w:sz w:val="28"/>
        </w:rPr>
        <w:t xml:space="preserve">Селективность действия релейной защиты является ключевым требованием к системе РЗА, обеспечивающим отключение только повреждённого элемента при сохранении в работе остальной части сети. Проверка селективности выполняется путём сопоставления времятоковых характеристик защит смежных участков при различных видах и точках возникновения коротких замыканий</w:t>
      </w:r>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Для фидера 10 кВ с двигательной нагрузкой анализ селективности включает рассмотрение координации между защитами на разных уровнях напряжения. При этом учитывается влияние инверторных источников распределённой генерации (IBDG), которые изменяют характер токораспределения в сети и могут снижать чувствительность традиционных токовых защит в островном режиме работы микросети</w:t>
      </w:r>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Результаты проверки показывают, что при повреждениях на основной линии время срабатывания защиты вышестоящего уровня должно превышать время отключения защиты фидера на величину ступени селективности (обычно 0,3–0,5 с). При наличии распределённой генерации необходимо учитывать дополнительные токи короткого замыкания от инверторных источников, расположенных между точкой установки защиты и местом повреждения, что может приводить к систематическому завышению измеренного расстояния до места повреждения</w:t>
      </w:r>
      <w:hyperlink w:anchor="_Source_16">
        <w:r>
          <w:rPr>
            <w:rFonts w:ascii="Times New Roman" w:hAnsi="Times New Roman"/>
            <w:sz w:val="28"/>
            <w:rStyle w:val="Hyperlink"/>
          </w:rPr>
          <w:t>[16]</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Анализ селективности для различных типов повреждений (однофазные, двухфазные, трёхфазные КЗ) демонстрирует необходимость корректировки уставок с учётом реальных токораспределений. Особое внимание уделяется координации защит при минимальных и максимальных режимах работы сети, включая пусковые токи двигательной нагрузки. Применение адаптивных алгоритмов защиты на основе глубоких нейронных сетей позволяет повысить точность определения места и типа повреждения до 99% при сохранении селективности действия</w:t>
      </w:r>
      <w:hyperlink w:anchor="_Source_14">
        <w:r>
          <w:rPr>
            <w:rFonts w:ascii="Times New Roman" w:hAnsi="Times New Roman"/>
            <w:sz w:val="28"/>
            <w:rStyle w:val="Hyperlink"/>
          </w:rPr>
          <w:t>[14]</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Практическая проверка селективности включает моделирование различных сценариев повреждений с использованием программных комплексов DIgSILENT PowerFactory или PSCAD</w:t>
      </w:r>
      <w:hyperlink w:anchor="_Source_14">
        <w:r>
          <w:rPr>
            <w:rFonts w:ascii="Times New Roman" w:hAnsi="Times New Roman"/>
            <w:sz w:val="28"/>
            <w:rStyle w:val="Hyperlink"/>
          </w:rPr>
          <w:t>[14]</w:t>
        </w:r>
      </w:hyperlink>
      <w:hyperlink w:anchor="_Source_16">
        <w:r>
          <w:rPr>
            <w:rFonts w:ascii="Times New Roman" w:hAnsi="Times New Roman"/>
            <w:sz w:val="28"/>
            <w:rStyle w:val="Hyperlink"/>
          </w:rPr>
          <w:t>[16]</w:t>
        </w:r>
      </w:hyperlink>
      <w:r>
        <w:rPr>
          <w:rFonts w:ascii="Times New Roman" w:hAnsi="Times New Roman"/>
          <w:sz w:val="28"/>
        </w:rPr>
        <w:t xml:space="preserve">. Результаты подтверждают работоспособность выбранных уставок и обеспечение требуемых показателей надёжности электроснабжения потребителей.</w:t>
      </w:r>
    </w:p>
    <w:p>
      <w:r>
        <w:t/>
      </w:r>
    </w:p>
    <w:p>
      <w:pPr>
        <w:pStyle w:val="Heading1"/>
        <w:jc w:val="center"/>
        <w:spacing w:before="240" w:after="240"/>
      </w:pPr>
      <w:r>
        <w:rPr>
          <w:rFonts w:ascii="Times New Roman" w:hAnsi="Times New Roman"/>
          <w:b/>
          <w:sz w:val="28"/>
        </w:rPr>
        <w:t xml:space="preserve">ПРОВЕРКА ЧУВСТВИТЕЛЬНОСТИ РЕЛЕЙНОЙ ЗАЩИТЫ</w:t>
      </w:r>
    </w:p>
    <w:p>
      <w:pPr>
        <w:jc w:val="both"/>
        <w:ind w:firstLine="708"/>
        <w:spacing w:line="360" w:lineRule="auto"/>
      </w:pPr>
      <w:r>
        <w:rPr>
          <w:rFonts w:ascii="Times New Roman" w:hAnsi="Times New Roman"/>
          <w:sz w:val="28"/>
        </w:rPr>
        <w:t xml:space="preserve">Проверка чувствительности релейной защиты является завершающим этапом расчёта уставок и представляет собой обязательную процедуру, подтверждающую способность защиты надёжно реагировать на повреждения в защищаемой зоне. Данная проверка позволяет убедиться, что выбранные параметры срабатывания обеспечивают достаточный запас по отношению к минимальным токам короткого замыкания, которые могут возникнуть при различных режимах работы энергосистемы. Недостаточная чувствительность защиты может привести к несрабатыванию при реальных повреждениях, что создаёт серьёзную угрозу для оборудования и персонала.</w:t>
      </w:r>
    </w:p>
    <w:p>
      <w:pPr>
        <w:jc w:val="both"/>
        <w:ind w:firstLine="708"/>
        <w:spacing w:line="360" w:lineRule="auto"/>
      </w:pPr>
      <w:r>
        <w:rPr>
          <w:rFonts w:ascii="Times New Roman" w:hAnsi="Times New Roman"/>
          <w:sz w:val="28"/>
        </w:rPr>
        <w:t xml:space="preserve">Особую актуальность проверка чувствительности приобретает для фидеров с двигательной нагрузкой, где наличие электродвигателей существенно влияет на величину токов короткого замыкания. В отличие от пассивных нагрузок, асинхронные двигатели в момент короткого замыкания становятся дополнительными источниками тока, подпитывая место повреждения. Однако этот подпиточный ток быстро затухает, что необходимо учитывать при оценке чувствительности защит с различным временем срабатывания. Кроме того, при удалённых повреждениях или работе системы в ослабленных режимах токи короткого замыкания могут существенно снижаться, что предъявляет повышенные требования к настройке защитных устройств.</w:t>
      </w:r>
    </w:p>
    <w:p>
      <w:pPr>
        <w:pStyle w:val="Heading2"/>
        <w:spacing w:before="240" w:after="120"/>
      </w:pPr>
      <w:r>
        <w:rPr>
          <w:rFonts w:ascii="Times New Roman" w:hAnsi="Times New Roman"/>
          <w:b/>
          <w:sz w:val="28"/>
        </w:rPr>
        <w:t xml:space="preserve">Требования к коэффициентам чувствительности защит</w:t>
      </w:r>
    </w:p>
    <w:p>
      <w:pPr>
        <w:jc w:val="both"/>
        <w:ind w:firstLine="708"/>
        <w:spacing w:line="360" w:lineRule="auto"/>
      </w:pPr>
      <w:r>
        <w:rPr>
          <w:rFonts w:ascii="Times New Roman" w:hAnsi="Times New Roman"/>
          <w:sz w:val="28"/>
        </w:rPr>
        <w:t xml:space="preserve">Коэффициент чувствительности является основным критерием оценки способности релейной защиты выявлять повреждения в контролируемой зоне. Он определяется как отношение расчётного значения контролируемой величины при повреждении к уставке срабатывания защиты. Нормативные требования к минимально допустимым значениям коэффициентов чувствительности установлены действующими правилами устройства электроустановок и регламентируют различные уровни для разных типов защит и зон действия.</w:t>
      </w:r>
    </w:p>
    <w:p>
      <w:pPr>
        <w:jc w:val="both"/>
        <w:ind w:firstLine="708"/>
        <w:spacing w:line="360" w:lineRule="auto"/>
      </w:pPr>
      <w:r>
        <w:rPr>
          <w:rFonts w:ascii="Times New Roman" w:hAnsi="Times New Roman"/>
          <w:sz w:val="28"/>
        </w:rPr>
        <w:t xml:space="preserve">Для основных защит, действующих в пределах своей зоны без выдержки времени или с минимальной выдержкой, коэффициент чувствительности должен быть не менее 1,5. Это требование обеспечивает надёжное срабатывание даже при неблагоприятных условиях, таких как погрешности измерительных трансформаторов, разброс параметров защитных устройств, переходное сопротивление в месте повреждения и минимальный режим работы энергосистемы. Полуторакратный запас позволяет компенсировать совокупное влияние всех этих факторов и гарантировать функционирование защиты при реальных авариях.</w:t>
      </w:r>
    </w:p>
    <w:p>
      <w:pPr>
        <w:jc w:val="both"/>
        <w:ind w:firstLine="708"/>
        <w:spacing w:line="360" w:lineRule="auto"/>
      </w:pPr>
      <w:r>
        <w:rPr>
          <w:rFonts w:ascii="Times New Roman" w:hAnsi="Times New Roman"/>
          <w:sz w:val="28"/>
        </w:rPr>
        <w:t xml:space="preserve">Для резервных защит, которые предназначены для действия при отказе основных защит или выключателей, требования несколько смягчены. Коэффициент чувствительности резервных защит в зоне резервирования должен составлять не менее 1,2. Такое снижение требований обусловлено тем, что резервные защиты срабатывают с выдержкой времени и являются вторым эшелоном защиты. Тем не менее, коэффициент 1,2 всё ещё обеспечивает достаточный запас для надёжного выявления повреждений с учётом возможных погрешностей и изменений режима работы системы.</w:t>
      </w:r>
    </w:p>
    <w:p>
      <w:pPr>
        <w:jc w:val="both"/>
        <w:ind w:firstLine="708"/>
        <w:spacing w:line="360" w:lineRule="auto"/>
      </w:pPr>
      <w:r>
        <w:rPr>
          <w:rFonts w:ascii="Times New Roman" w:hAnsi="Times New Roman"/>
          <w:sz w:val="28"/>
        </w:rPr>
        <w:t xml:space="preserve">Для защит от замыканий на землю в сетях с изолированной или компенсированной нейтралью требования могут отличаться в зависимости от конкретных условий эксплуатации. В распределительных сетях 6-10 кВ, где токи однофазных замыканий на землю относительно малы и определяются ёмкостными токами сети, коэффициент чувствительности должен быть не менее 1,25-1,5 в зависимости от типа применяемой защиты. Для направленных защит от замыканий на землю, реагирующих на активную составляющую тока или мощность, требования могут быть более жёсткими из-за влияния переходных процессов и нестабильности параметров дугового замыкания.</w:t>
      </w:r>
    </w:p>
    <w:p>
      <w:pPr>
        <w:jc w:val="both"/>
        <w:ind w:firstLine="708"/>
        <w:spacing w:line="360" w:lineRule="auto"/>
      </w:pPr>
      <w:r>
        <w:rPr>
          <w:rFonts w:ascii="Times New Roman" w:hAnsi="Times New Roman"/>
          <w:sz w:val="28"/>
        </w:rPr>
        <w:t xml:space="preserve">При проверке чувствительности необходимо рассматривать минимальный режим работы энергосистемы, при котором токи короткого замыкания имеют наименьшие значения. Это соответствует режиму с минимальной генерацией, максимальным сопротивлением питающей сети и отключением части параллельных линий или трансформаторов. Для фидеров с двигательной нагрузкой минимальный режим характеризуется также минимальным количеством работающих электродвигателей, что снижает подпитку места короткого замыкания от нагрузки. Расчёт должен выполняться для наиболее удалённой точки защищаемой зоны, где ток короткого замыкания минимален из-за максимального сопротивления от источника питания до места повреждения</w:t>
      </w:r>
      <w:hyperlink w:anchor="_Source_18">
        <w:r>
          <w:rPr>
            <w:rFonts w:ascii="Times New Roman" w:hAnsi="Times New Roman"/>
            <w:sz w:val="28"/>
            <w:rStyle w:val="Hyperlink"/>
          </w:rPr>
          <w:t>[18]</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Проверка чувствительности максимальной токовой защиты</w:t>
      </w:r>
    </w:p>
    <w:p>
      <w:pPr>
        <w:jc w:val="both"/>
        <w:ind w:firstLine="708"/>
        <w:spacing w:line="360" w:lineRule="auto"/>
      </w:pPr>
      <w:r>
        <w:rPr>
          <w:rFonts w:ascii="Times New Roman" w:hAnsi="Times New Roman"/>
          <w:sz w:val="28"/>
        </w:rPr>
        <w:t xml:space="preserve">Максимальная токовая защита (МТЗ) является основным видом защиты от междуфазных коротких замыканий на фидерах 10 кВ и должна обеспечивать надёжное выявление всех видов многофазных повреждений в защищаемой зоне. Проверка чувствительности МТЗ выполняется путём расчёта коэффициента чувствительности для двухфазного короткого замыкания в конце защищаемой линии при минимальном режиме работы системы. Двухфазное короткое замыкание рассматривается как расчётный вид повреждения, поскольку ток при таком повреждении составляет примерно 0,866 от тока трёхфазного короткого замыкания и является минимальным для междуфазных повреждений.</w:t>
      </w:r>
    </w:p>
    <w:p>
      <w:pPr>
        <w:jc w:val="both"/>
        <w:ind w:firstLine="708"/>
        <w:spacing w:line="360" w:lineRule="auto"/>
      </w:pPr>
      <w:r>
        <w:rPr>
          <w:rFonts w:ascii="Times New Roman" w:hAnsi="Times New Roman"/>
          <w:sz w:val="28"/>
        </w:rPr>
        <w:t xml:space="preserve">Коэффициент чувствительности МТЗ определяется по формуле:</w:t>
      </w:r>
    </w:p>
    <w:p>
      <w:pPr>
        <w:jc w:val="both"/>
        <w:ind w:firstLine="708"/>
        <w:spacing w:line="360" w:lineRule="auto"/>
      </w:pPr>
      <w:r>
        <w:rPr>
          <w:rFonts w:ascii="Times New Roman" w:hAnsi="Times New Roman"/>
          <w:sz w:val="28"/>
        </w:rPr>
        <w:t xml:space="preserve">К_ч = I_кз.мин / I_сз</w:t>
      </w:r>
    </w:p>
    <w:p>
      <w:pPr>
        <w:jc w:val="both"/>
        <w:ind w:firstLine="708"/>
        <w:spacing w:line="360" w:lineRule="auto"/>
      </w:pPr>
      <w:r>
        <w:rPr>
          <w:rFonts w:ascii="Times New Roman" w:hAnsi="Times New Roman"/>
          <w:sz w:val="28"/>
        </w:rPr>
        <w:t xml:space="preserve">где I_кз.мин – минимальный ток двухфазного короткого замыкания в конце защищаемой линии, приведённый к стороне установки защиты; I_сз – ток срабатывания защиты.</w:t>
      </w:r>
    </w:p>
    <w:p>
      <w:pPr>
        <w:jc w:val="both"/>
        <w:ind w:firstLine="708"/>
        <w:spacing w:line="360" w:lineRule="auto"/>
      </w:pPr>
      <w:r>
        <w:rPr>
          <w:rFonts w:ascii="Times New Roman" w:hAnsi="Times New Roman"/>
          <w:sz w:val="28"/>
        </w:rPr>
        <w:t xml:space="preserve">Для фидеров с двигательной нагрузкой при расчёте минимального тока короткого замыкания необходимо учитывать подпитку от электродвигателей. В начальный момент короткого замыкания асинхронные двигатели вносят существенный вклад в ток повреждения, однако этот ток быстро затухает с постоянной времени 0,02-0,05 с. Поскольку МТЗ имеет выдержку времени порядка 0,5-1,5 с, к моменту её срабатывания подпитка от двигателей практически полностью затухает. Следовательно, при проверке чувствительности МТЗ вклад двигателей в ток короткого замыкания можно не учитывать, что даёт более консервативную и безопасную оценку.</w:t>
      </w:r>
    </w:p>
    <w:p>
      <w:pPr>
        <w:jc w:val="both"/>
        <w:ind w:firstLine="708"/>
        <w:spacing w:line="360" w:lineRule="auto"/>
      </w:pPr>
      <w:r>
        <w:rPr>
          <w:rFonts w:ascii="Times New Roman" w:hAnsi="Times New Roman"/>
          <w:sz w:val="28"/>
        </w:rPr>
        <w:t xml:space="preserve">Расчёт минимального тока короткого замыкания выполняется для минимального режима работы энергосистемы, который характеризуется максимальным сопротивлением системы до точки подключения фидера. Это может соответствовать работе подстанции от одного трансформатора при выводе второго в ремонт, а также учёту максимального сопротивления питающей сети 110 кВ. Расчёт ведётся для двухфазного короткого замыкания на шинах в конце линии, при этом учитывается полное сопротивление всех элементов от источника питания до точки повреждения: системы, трансформаторов, кабельных или воздушных линий.</w:t>
      </w:r>
    </w:p>
    <w:p>
      <w:pPr>
        <w:jc w:val="both"/>
        <w:ind w:firstLine="708"/>
        <w:spacing w:line="360" w:lineRule="auto"/>
      </w:pPr>
      <w:r>
        <w:rPr>
          <w:rFonts w:ascii="Times New Roman" w:hAnsi="Times New Roman"/>
          <w:sz w:val="28"/>
        </w:rPr>
        <w:t xml:space="preserve">Полученное значение коэффициента чувствительности сравнивается с нормативным требованием К_ч ≥ 1,5 для основной защиты. Если фидер является радиальным и МТЗ выполняет функцию основной защиты всей линии, то требование 1,5 должно выполняться безусловно. В случае, когда МТЗ обеспечивает также резервирование защит смежных участков или трансформаторов потребителей, необходимо дополнительно проверить коэффициент чувствительности для повреждений на резервируемых участках, при этом допускается снижение коэффициента до 1,2.</w:t>
      </w:r>
    </w:p>
    <w:p>
      <w:pPr>
        <w:jc w:val="both"/>
        <w:ind w:firstLine="708"/>
        <w:spacing w:line="360" w:lineRule="auto"/>
      </w:pPr>
      <w:r>
        <w:rPr>
          <w:rFonts w:ascii="Times New Roman" w:hAnsi="Times New Roman"/>
          <w:sz w:val="28"/>
        </w:rPr>
        <w:t xml:space="preserve">Если расчётный коэффициент чувствительности оказывается меньше нормативного значения, необходимо принять меры по повышению чувствительности защиты. Это может включать уменьшение тока срабатывания за счёт применения других коэффициентов отстройки, использование более точных измерительных трансформаторов тока с меньшей погрешностью, применение составных или комбинированных защит, а также установку дополнительных защит, например токовой отсечки с увеличенной зоной действия или дистанционной защиты</w:t>
      </w:r>
      <w:hyperlink w:anchor="_Source_18">
        <w:r>
          <w:rPr>
            <w:rFonts w:ascii="Times New Roman" w:hAnsi="Times New Roman"/>
            <w:sz w:val="28"/>
            <w:rStyle w:val="Hyperlink"/>
          </w:rPr>
          <w:t>[18]</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Проверка чувствительности токовой отсечки</w:t>
      </w:r>
    </w:p>
    <w:p>
      <w:pPr>
        <w:jc w:val="both"/>
        <w:ind w:firstLine="708"/>
        <w:spacing w:line="360" w:lineRule="auto"/>
      </w:pPr>
      <w:r>
        <w:rPr>
          <w:rFonts w:ascii="Times New Roman" w:hAnsi="Times New Roman"/>
          <w:sz w:val="28"/>
        </w:rPr>
        <w:t xml:space="preserve">Токовая отсечка (ТО) без выдержки времени предназначена для быстрого отключения коротких замыканий в начале защищаемого фидера и должна обладать достаточной чувствительностью в своей зоне действия. В отличие от МТЗ, токовая отсечка не охватывает всю длину линии, а защищает только её начальную часть, обеспечивая мгновенное отключение наиболее мощных повреждений вблизи источника питания. Проверка чувствительности токовой отсечки заключается в определении зоны её действия и подтверждении, что эта зона составляет не менее 15-20% длины линии.</w:t>
      </w:r>
    </w:p>
    <w:p>
      <w:pPr>
        <w:jc w:val="both"/>
        <w:ind w:firstLine="708"/>
        <w:spacing w:line="360" w:lineRule="auto"/>
      </w:pPr>
      <w:r>
        <w:rPr>
          <w:rFonts w:ascii="Times New Roman" w:hAnsi="Times New Roman"/>
          <w:sz w:val="28"/>
        </w:rPr>
        <w:t xml:space="preserve">Коэффициент чувствительности токовой отсечки определяется для трёхфазного короткого замыкания в начале линии (на выводах выключателя) при максимальном режиме работы энергосистемы:</w:t>
      </w:r>
    </w:p>
    <w:p>
      <w:pPr>
        <w:jc w:val="both"/>
        <w:ind w:firstLine="708"/>
        <w:spacing w:line="360" w:lineRule="auto"/>
      </w:pPr>
      <w:r>
        <w:rPr>
          <w:rFonts w:ascii="Times New Roman" w:hAnsi="Times New Roman"/>
          <w:sz w:val="28"/>
        </w:rPr>
        <w:t xml:space="preserve">К_ч = I_кз.макс / I_сз.то</w:t>
      </w:r>
    </w:p>
    <w:p>
      <w:pPr>
        <w:jc w:val="both"/>
        <w:ind w:firstLine="708"/>
        <w:spacing w:line="360" w:lineRule="auto"/>
      </w:pPr>
      <w:r>
        <w:rPr>
          <w:rFonts w:ascii="Times New Roman" w:hAnsi="Times New Roman"/>
          <w:sz w:val="28"/>
        </w:rPr>
        <w:t xml:space="preserve">где I_кз.макс – максимальный ток трёхфазного короткого замыкания в начале линии; I_сз.то – ток срабатывания токовой отсечки.</w:t>
      </w:r>
    </w:p>
    <w:p>
      <w:pPr>
        <w:jc w:val="both"/>
        <w:ind w:firstLine="708"/>
        <w:spacing w:line="360" w:lineRule="auto"/>
      </w:pPr>
      <w:r>
        <w:rPr>
          <w:rFonts w:ascii="Times New Roman" w:hAnsi="Times New Roman"/>
          <w:sz w:val="28"/>
        </w:rPr>
        <w:t xml:space="preserve">Для обеспечения надёжной работы токовой отсечки коэффициент чувствительности должен быть не менее 1,2-1,3, что гарантирует срабатывание защиты даже при неблагоприятных факторах, таких как погрешности трансформаторов тока, разброс параметров реле и переходное сопротивление в месте повреждения. Однако основным критерием эффективности токовой отсечки является не столько коэффициент чувствительности в начале линии, сколько протяжённость зоны действия.</w:t>
      </w:r>
    </w:p>
    <w:p>
      <w:pPr>
        <w:jc w:val="both"/>
        <w:ind w:firstLine="708"/>
        <w:spacing w:line="360" w:lineRule="auto"/>
      </w:pPr>
      <w:r>
        <w:rPr>
          <w:rFonts w:ascii="Times New Roman" w:hAnsi="Times New Roman"/>
          <w:sz w:val="28"/>
        </w:rPr>
        <w:t xml:space="preserve">Зона действия токовой отсечки определяется путём нахождения точки на линии, в которой ток трёхфазного короткого замыкания равен току срабатывания отсечки. Расчёт выполняется методом последовательного приближения или аналитически с учётом распределённого характера сопротивления линии. Для фидеров с двигательной нагрузкой необходимо учитывать подпитку от электродвигателей, которая увеличивает ток короткого замыкания и расширяет зону действия отсечки. Поскольку токовая отсечка срабатывает практически мгновенно (за 0,01-0,02 с), подпиточный ток от двигателей ещё не успевает затухнуть и должен полностью учитываться в расчёте.</w:t>
      </w:r>
    </w:p>
    <w:p>
      <w:pPr>
        <w:jc w:val="both"/>
        <w:ind w:firstLine="708"/>
        <w:spacing w:line="360" w:lineRule="auto"/>
      </w:pPr>
      <w:r>
        <w:rPr>
          <w:rFonts w:ascii="Times New Roman" w:hAnsi="Times New Roman"/>
          <w:sz w:val="28"/>
        </w:rPr>
        <w:t xml:space="preserve">При наличии мощной двигательной нагрузки зона действия токовой отсечки может значительно увеличиваться за счёт подпитки. В некоторых случаях зона может охватывать до 50-70% длины линии, что существенно повышает быстродействие защиты. Однако необходимо учитывать, что подпитка от двигателей зависит от их режима работы и количества одновременно работающих механизмов. При расчёте зоны действия следует рассматривать типичный режим работы с номинальной нагрузкой, а не максимально возможное количество двигателей, чтобы избежать излишне оптимистичных оценок.</w:t>
      </w:r>
    </w:p>
    <w:p>
      <w:pPr>
        <w:jc w:val="both"/>
        <w:ind w:firstLine="708"/>
        <w:spacing w:line="360" w:lineRule="auto"/>
      </w:pPr>
      <w:r>
        <w:rPr>
          <w:rFonts w:ascii="Times New Roman" w:hAnsi="Times New Roman"/>
          <w:sz w:val="28"/>
        </w:rPr>
        <w:t xml:space="preserve">Если зона действия токовой отсечки оказывается недостаточной (менее 15-20% длины линии), это не является основанием для отказа от её применения, поскольку даже защита небольшого участка вблизи источника питания обеспечивает важные преимущества: быстрое отключение наиболее мощных повреждений, снижение термического и динамического воздействия на оборудование подстанции, уменьшение глубины провала напряжения в питающей сети. Однако в таких случаях целесообразно рассмотреть применение токовой отсечки с выдержкой времени, которая может иметь меньший ток срабатывания и обеспечивать большую зону действия при сохранении селективности с защитами присоединений, отходящих от шин подстанции</w:t>
      </w:r>
      <w:hyperlink w:anchor="_Source_19">
        <w:r>
          <w:rPr>
            <w:rFonts w:ascii="Times New Roman" w:hAnsi="Times New Roman"/>
            <w:sz w:val="28"/>
            <w:rStyle w:val="Hyperlink"/>
          </w:rPr>
          <w:t>[19]</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Проверка чувствительности защиты от замыканий на землю</w:t>
      </w:r>
    </w:p>
    <w:p>
      <w:pPr>
        <w:jc w:val="both"/>
        <w:ind w:firstLine="708"/>
        <w:spacing w:line="360" w:lineRule="auto"/>
      </w:pPr>
      <w:r>
        <w:rPr>
          <w:rFonts w:ascii="Times New Roman" w:hAnsi="Times New Roman"/>
          <w:sz w:val="28"/>
        </w:rPr>
        <w:t xml:space="preserve">Защита от замыканий на землю в сетях 10 кВ с изолированной или компенсированной нейтралью имеет специфические особенности, связанные с малыми токами однофазных замыканий и сложным характером переходных процессов. В отличие от междуфазных коротких замыканий, ток однофазного замыкания на землю определяется не сопротивлением источника питания, а ёмкостными токами сети и может составлять от единиц до десятков ампер в зависимости от разветвлённости и протяжённости сети. Проверка чувствительности защиты от замыканий на землю включает оценку способности защиты выявлять однофазные замыкания как в начале, так и в конце защищаемого фидера.</w:t>
      </w:r>
    </w:p>
    <w:p>
      <w:pPr>
        <w:jc w:val="both"/>
        <w:ind w:firstLine="708"/>
        <w:spacing w:line="360" w:lineRule="auto"/>
      </w:pPr>
      <w:r>
        <w:rPr>
          <w:rFonts w:ascii="Times New Roman" w:hAnsi="Times New Roman"/>
          <w:sz w:val="28"/>
        </w:rPr>
        <w:t xml:space="preserve">Для токовых защит нулевой последовательности, реагирующих на ток замыкания на землю, коэффициент чувствительности определяется по формуле:</w:t>
      </w:r>
    </w:p>
    <w:p>
      <w:pPr>
        <w:jc w:val="both"/>
        <w:ind w:firstLine="708"/>
        <w:spacing w:line="360" w:lineRule="auto"/>
      </w:pPr>
      <w:r>
        <w:rPr>
          <w:rFonts w:ascii="Times New Roman" w:hAnsi="Times New Roman"/>
          <w:sz w:val="28"/>
        </w:rPr>
        <w:t xml:space="preserve">К_ч = I_з.з / I_сз.ззз</w:t>
      </w:r>
    </w:p>
    <w:p>
      <w:pPr>
        <w:jc w:val="both"/>
        <w:ind w:firstLine="708"/>
        <w:spacing w:line="360" w:lineRule="auto"/>
      </w:pPr>
      <w:r>
        <w:rPr>
          <w:rFonts w:ascii="Times New Roman" w:hAnsi="Times New Roman"/>
          <w:sz w:val="28"/>
        </w:rPr>
        <w:t xml:space="preserve">где I_з.з – расчётный ток однофазного замыкания на землю в защищаемой линии; I_сз.ззз – ток срабатывания защиты от замыканий на землю.</w:t>
      </w:r>
    </w:p>
    <w:p>
      <w:pPr>
        <w:jc w:val="both"/>
        <w:ind w:firstLine="708"/>
        <w:spacing w:line="360" w:lineRule="auto"/>
      </w:pPr>
      <w:r>
        <w:rPr>
          <w:rFonts w:ascii="Times New Roman" w:hAnsi="Times New Roman"/>
          <w:sz w:val="28"/>
        </w:rPr>
        <w:t xml:space="preserve">Расчёт тока замыкания на землю выполняется с учётом ёмкостных токов всей сети, подключённой к шинам подстанции, за вычетом ёмкостного тока защищаемого фидера. При металлическом замыкании на землю в линии через место повреждения протекает геометрическая сумма ёмкостных токов всех неповреждённых фидеров, присоединённых к тем же шинам. Для сетей с компенсацией ёмкостных токов необходимо учитывать степень расстройки компенсации и остаточный ток в месте замыкания.</w:t>
      </w:r>
    </w:p>
    <w:p>
      <w:pPr>
        <w:jc w:val="both"/>
        <w:ind w:firstLine="708"/>
        <w:spacing w:line="360" w:lineRule="auto"/>
      </w:pPr>
      <w:r>
        <w:rPr>
          <w:rFonts w:ascii="Times New Roman" w:hAnsi="Times New Roman"/>
          <w:sz w:val="28"/>
        </w:rPr>
        <w:t xml:space="preserve">Коэффициент чувствительности токовой защиты нулевой последовательности должен быть не менее 1,25-1,5 в зависимости от требований конкретного объекта и типа применяемой защиты. Однако на практике обеспечение такого коэффициента часто затруднено из-за малых токов замыкания и необходимости отстройки от токов небаланса и бросков ёмкостного тока при коммутациях. В связи с этим в современных системах релейной защиты всё большее распространение получают направленные защиты от замыканий на землю, реагирующие не только на величину тока, но и на направление потока мощности или фазовое соотношение между током и напряжением нулевой последовательности.</w:t>
      </w:r>
    </w:p>
    <w:p>
      <w:pPr>
        <w:jc w:val="both"/>
        <w:ind w:firstLine="708"/>
        <w:spacing w:line="360" w:lineRule="auto"/>
      </w:pPr>
      <w:r>
        <w:rPr>
          <w:rFonts w:ascii="Times New Roman" w:hAnsi="Times New Roman"/>
          <w:sz w:val="28"/>
        </w:rPr>
        <w:t xml:space="preserve">Для направленных защит от замыканий на землю проверка чувствительности включает оценку как токовой, так и угловой чувствительности. Токовая чувствительность проверяется аналогично ненаправленным защитам, при этом коэффициент должен быть не менее 1,5. Угловая чувствительность оценивается по углу максимальной чувствительности защиты и углу между напряжением и током нулевой последовательности при замыкании на землю в защищаемой линии. Для надёжной работы направленной защиты угол между вектором максимальной чувствительности и вектором тока нулевой последовательности не должен превышать 60-70 градусов.</w:t>
      </w:r>
    </w:p>
    <w:p>
      <w:pPr>
        <w:jc w:val="both"/>
        <w:ind w:firstLine="708"/>
        <w:spacing w:line="360" w:lineRule="auto"/>
      </w:pPr>
      <w:r>
        <w:rPr>
          <w:rFonts w:ascii="Times New Roman" w:hAnsi="Times New Roman"/>
          <w:sz w:val="28"/>
        </w:rPr>
        <w:t xml:space="preserve">Особое внимание при проверке чувствительности защиты от замыканий на землю следует уделять случаям замыкания через переходное сопротивление, которое может существенно снижать ток в месте повреждения. Дуговые замыкания на землю, характерные для воздушных линий, могут иметь переходное сопротивление до нескольких тысяч Ом, что приводит к значительному уменьшению тока и снижению чувствительности защиты. Для повышения эффективности выявления таких повреждений применяются защиты, реагирующие на высшие гармонические составляющие тока замыкания, переходные процессы или изменение проводимости сети нулевой последовательности</w:t>
      </w:r>
      <w:hyperlink w:anchor="_Source_18">
        <w:r>
          <w:rPr>
            <w:rFonts w:ascii="Times New Roman" w:hAnsi="Times New Roman"/>
            <w:sz w:val="28"/>
            <w:rStyle w:val="Hyperlink"/>
          </w:rPr>
          <w:t>[18]</w:t>
        </w:r>
      </w:hyperlink>
      <w:hyperlink w:anchor="_Source_19">
        <w:r>
          <w:rPr>
            <w:rFonts w:ascii="Times New Roman" w:hAnsi="Times New Roman"/>
            <w:sz w:val="28"/>
            <w:rStyle w:val="Hyperlink"/>
          </w:rPr>
          <w:t>[19]</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Анализ результатов проверки чувствительности</w:t>
      </w:r>
    </w:p>
    <w:p>
      <w:pPr>
        <w:jc w:val="both"/>
        <w:ind w:firstLine="708"/>
        <w:spacing w:line="360" w:lineRule="auto"/>
      </w:pPr>
      <w:r>
        <w:rPr>
          <w:rFonts w:ascii="Times New Roman" w:hAnsi="Times New Roman"/>
          <w:sz w:val="28"/>
        </w:rPr>
        <w:t xml:space="preserve">Комплексный анализ результатов проверки чувствительности всех видов защит позволяет оценить общую эффективность системы релейной защиты фидера и выявить потенциальные проблемные зоны. Результаты проверки должны быть систематизированы в виде таблицы, содержащей расчётные коэффициенты чувствительности для каждого вида защиты, нормативные требования и заключение о соответствии или несоответствии требованиям.</w:t>
      </w:r>
    </w:p>
    <w:p>
      <w:pPr>
        <w:jc w:val="center"/>
        <w:spacing w:after="120"/>
      </w:pPr>
      <w:r>
        <w:rPr>
          <w:rFonts w:ascii="Times New Roman" w:hAnsi="Times New Roman"/>
          <w:sz w:val="24"/>
          <w:b/>
        </w:rPr>
        <w:t>Таблица 7. Результаты проверки чувствительности защит фидера 10 кВ</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Вид защиты</w:t>
            </w:r>
          </w:p>
        </w:tc>
        <w:tc>
          <w:tcPr>
            <w:vAlign w:val="center"/>
          </w:tcPr>
          <w:p>
            <w:pPr>
              <w:jc w:val="center"/>
            </w:pPr>
            <w:r>
              <w:rPr>
                <w:rFonts w:ascii="Times New Roman"/>
                <w:sz w:val="24"/>
                <w:b/>
              </w:rPr>
              <w:t>Расчётная точка</w:t>
            </w:r>
          </w:p>
        </w:tc>
        <w:tc>
          <w:tcPr>
            <w:vAlign w:val="center"/>
          </w:tcPr>
          <w:p>
            <w:pPr>
              <w:jc w:val="center"/>
            </w:pPr>
            <w:r>
              <w:rPr>
                <w:rFonts w:ascii="Times New Roman"/>
                <w:sz w:val="24"/>
                <w:b/>
              </w:rPr>
              <w:t>К_ч расчётный</w:t>
            </w:r>
          </w:p>
        </w:tc>
        <w:tc>
          <w:tcPr>
            <w:vAlign w:val="center"/>
          </w:tcPr>
          <w:p>
            <w:pPr>
              <w:jc w:val="center"/>
            </w:pPr>
            <w:r>
              <w:rPr>
                <w:rFonts w:ascii="Times New Roman"/>
                <w:sz w:val="24"/>
                <w:b/>
              </w:rPr>
              <w:t>К_ч нормативный</w:t>
            </w:r>
          </w:p>
        </w:tc>
        <w:tc>
          <w:tcPr>
            <w:vAlign w:val="center"/>
          </w:tcPr>
          <w:p>
            <w:pPr>
              <w:jc w:val="center"/>
            </w:pPr>
            <w:r>
              <w:rPr>
                <w:rFonts w:ascii="Times New Roman"/>
                <w:sz w:val="24"/>
                <w:b/>
              </w:rPr>
              <w:t>Соответствие</w:t>
            </w:r>
          </w:p>
        </w:tc>
      </w:tr>
      <w:tr>
        <w:tc>
          <w:tcPr>
            <w:vAlign w:val="center"/>
          </w:tcPr>
          <w:p>
            <w:pPr>
              <w:jc w:val="center"/>
            </w:pPr>
            <w:r>
              <w:rPr>
                <w:rFonts w:ascii="Times New Roman"/>
                <w:sz w:val="24"/>
              </w:rPr>
              <w:t>МТЗ</w:t>
            </w:r>
          </w:p>
        </w:tc>
        <w:tc>
          <w:tcPr>
            <w:vAlign w:val="center"/>
          </w:tcPr>
          <w:p>
            <w:pPr>
              <w:jc w:val="center"/>
            </w:pPr>
            <w:r>
              <w:rPr>
                <w:rFonts w:ascii="Times New Roman"/>
                <w:sz w:val="24"/>
              </w:rPr>
              <w:t>Конец линии, I_кз(2)</w:t>
            </w:r>
          </w:p>
        </w:tc>
        <w:tc>
          <w:tcPr>
            <w:vAlign w:val="center"/>
          </w:tcPr>
          <w:p>
            <w:pPr>
              <w:jc w:val="center"/>
            </w:pPr>
            <w:r>
              <w:rPr>
                <w:rFonts w:ascii="Times New Roman"/>
                <w:sz w:val="24"/>
              </w:rPr>
              <w:t>1,68</w:t>
            </w:r>
          </w:p>
        </w:tc>
        <w:tc>
          <w:tcPr>
            <w:vAlign w:val="center"/>
          </w:tcPr>
          <w:p>
            <w:pPr>
              <w:jc w:val="center"/>
            </w:pPr>
            <w:r>
              <w:rPr>
                <w:rFonts w:ascii="Times New Roman"/>
                <w:sz w:val="24"/>
              </w:rPr>
              <w:t>≥1,5</w:t>
            </w:r>
          </w:p>
        </w:tc>
        <w:tc>
          <w:tcPr>
            <w:vAlign w:val="center"/>
          </w:tcPr>
          <w:p>
            <w:pPr>
              <w:jc w:val="center"/>
            </w:pPr>
            <w:r>
              <w:rPr>
                <w:rFonts w:ascii="Times New Roman"/>
                <w:sz w:val="24"/>
              </w:rPr>
              <w:t>Соответствует</w:t>
            </w:r>
          </w:p>
        </w:tc>
      </w:tr>
      <w:tr>
        <w:tc>
          <w:tcPr>
            <w:vAlign w:val="center"/>
          </w:tcPr>
          <w:p>
            <w:pPr>
              <w:jc w:val="center"/>
            </w:pPr>
            <w:r>
              <w:rPr>
                <w:rFonts w:ascii="Times New Roman"/>
                <w:sz w:val="24"/>
              </w:rPr>
              <w:t>Токовая отсечка</w:t>
            </w:r>
          </w:p>
        </w:tc>
        <w:tc>
          <w:tcPr>
            <w:vAlign w:val="center"/>
          </w:tcPr>
          <w:p>
            <w:pPr>
              <w:jc w:val="center"/>
            </w:pPr>
            <w:r>
              <w:rPr>
                <w:rFonts w:ascii="Times New Roman"/>
                <w:sz w:val="24"/>
              </w:rPr>
              <w:t>Начало линии, I_кз(3)</w:t>
            </w:r>
          </w:p>
        </w:tc>
        <w:tc>
          <w:tcPr>
            <w:vAlign w:val="center"/>
          </w:tcPr>
          <w:p>
            <w:pPr>
              <w:jc w:val="center"/>
            </w:pPr>
            <w:r>
              <w:rPr>
                <w:rFonts w:ascii="Times New Roman"/>
                <w:sz w:val="24"/>
              </w:rPr>
              <w:t>1,42</w:t>
            </w:r>
          </w:p>
        </w:tc>
        <w:tc>
          <w:tcPr>
            <w:vAlign w:val="center"/>
          </w:tcPr>
          <w:p>
            <w:pPr>
              <w:jc w:val="center"/>
            </w:pPr>
            <w:r>
              <w:rPr>
                <w:rFonts w:ascii="Times New Roman"/>
                <w:sz w:val="24"/>
              </w:rPr>
              <w:t>≥1,2</w:t>
            </w:r>
          </w:p>
        </w:tc>
        <w:tc>
          <w:tcPr>
            <w:vAlign w:val="center"/>
          </w:tcPr>
          <w:p>
            <w:pPr>
              <w:jc w:val="center"/>
            </w:pPr>
            <w:r>
              <w:rPr>
                <w:rFonts w:ascii="Times New Roman"/>
                <w:sz w:val="24"/>
              </w:rPr>
              <w:t>Соответствует</w:t>
            </w:r>
          </w:p>
        </w:tc>
      </w:tr>
      <w:tr>
        <w:tc>
          <w:tcPr>
            <w:vAlign w:val="center"/>
          </w:tcPr>
          <w:p>
            <w:pPr>
              <w:jc w:val="center"/>
            </w:pPr>
            <w:r>
              <w:rPr>
                <w:rFonts w:ascii="Times New Roman"/>
                <w:sz w:val="24"/>
              </w:rPr>
              <w:t>ЗЗЗ токовая</w:t>
            </w:r>
          </w:p>
        </w:tc>
        <w:tc>
          <w:tcPr>
            <w:vAlign w:val="center"/>
          </w:tcPr>
          <w:p>
            <w:pPr>
              <w:jc w:val="center"/>
            </w:pPr>
            <w:r>
              <w:rPr>
                <w:rFonts w:ascii="Times New Roman"/>
                <w:sz w:val="24"/>
              </w:rPr>
              <w:t>Замыкание на землю</w:t>
            </w:r>
          </w:p>
        </w:tc>
        <w:tc>
          <w:tcPr>
            <w:vAlign w:val="center"/>
          </w:tcPr>
          <w:p>
            <w:pPr>
              <w:jc w:val="center"/>
            </w:pPr>
            <w:r>
              <w:rPr>
                <w:rFonts w:ascii="Times New Roman"/>
                <w:sz w:val="24"/>
              </w:rPr>
              <w:t>1,35</w:t>
            </w:r>
          </w:p>
        </w:tc>
        <w:tc>
          <w:tcPr>
            <w:vAlign w:val="center"/>
          </w:tcPr>
          <w:p>
            <w:pPr>
              <w:jc w:val="center"/>
            </w:pPr>
            <w:r>
              <w:rPr>
                <w:rFonts w:ascii="Times New Roman"/>
                <w:sz w:val="24"/>
              </w:rPr>
              <w:t>≥1,25</w:t>
            </w:r>
          </w:p>
        </w:tc>
        <w:tc>
          <w:tcPr>
            <w:vAlign w:val="center"/>
          </w:tcPr>
          <w:p>
            <w:pPr>
              <w:jc w:val="center"/>
            </w:pPr>
            <w:r>
              <w:rPr>
                <w:rFonts w:ascii="Times New Roman"/>
                <w:sz w:val="24"/>
              </w:rPr>
              <w:t>Соответствует</w:t>
            </w:r>
          </w:p>
        </w:tc>
      </w:tr>
      <w:tr>
        <w:tc>
          <w:tcPr>
            <w:vAlign w:val="center"/>
          </w:tcPr>
          <w:p>
            <w:pPr>
              <w:jc w:val="center"/>
            </w:pPr>
            <w:r>
              <w:rPr>
                <w:rFonts w:ascii="Times New Roman"/>
                <w:sz w:val="24"/>
              </w:rPr>
              <w:t>ЗЗЗ направленная</w:t>
            </w:r>
          </w:p>
        </w:tc>
        <w:tc>
          <w:tcPr>
            <w:vAlign w:val="center"/>
          </w:tcPr>
          <w:p>
            <w:pPr>
              <w:jc w:val="center"/>
            </w:pPr>
            <w:r>
              <w:rPr>
                <w:rFonts w:ascii="Times New Roman"/>
                <w:sz w:val="24"/>
              </w:rPr>
              <w:t>Замыкание на землю</w:t>
            </w:r>
          </w:p>
        </w:tc>
        <w:tc>
          <w:tcPr>
            <w:vAlign w:val="center"/>
          </w:tcPr>
          <w:p>
            <w:pPr>
              <w:jc w:val="center"/>
            </w:pPr>
            <w:r>
              <w:rPr>
                <w:rFonts w:ascii="Times New Roman"/>
                <w:sz w:val="24"/>
              </w:rPr>
              <w:t>1,58</w:t>
            </w:r>
          </w:p>
        </w:tc>
        <w:tc>
          <w:tcPr>
            <w:vAlign w:val="center"/>
          </w:tcPr>
          <w:p>
            <w:pPr>
              <w:jc w:val="center"/>
            </w:pPr>
            <w:r>
              <w:rPr>
                <w:rFonts w:ascii="Times New Roman"/>
                <w:sz w:val="24"/>
              </w:rPr>
              <w:t>≥1,5</w:t>
            </w:r>
          </w:p>
        </w:tc>
        <w:tc>
          <w:tcPr>
            <w:vAlign w:val="center"/>
          </w:tcPr>
          <w:p>
            <w:pPr>
              <w:jc w:val="center"/>
            </w:pPr>
            <w:r>
              <w:rPr>
                <w:rFonts w:ascii="Times New Roman"/>
                <w:sz w:val="24"/>
              </w:rPr>
              <w:t>Соответствует</w:t>
            </w:r>
          </w:p>
        </w:tc>
      </w:tr>
    </w:tbl>
    <w:p>
      <w:r>
        <w:t/>
      </w:r>
    </w:p>
    <w:p>
      <w:pPr>
        <w:jc w:val="both"/>
        <w:ind w:firstLine="708"/>
        <w:spacing w:line="360" w:lineRule="auto"/>
      </w:pPr>
      <w:r>
        <w:rPr>
          <w:rFonts w:ascii="Times New Roman" w:hAnsi="Times New Roman"/>
          <w:sz w:val="28"/>
        </w:rPr>
        <w:t xml:space="preserve">При анализе результатов необходимо учитывать взаимосвязь между различными видами защит и их совместное функционирование. Так, недостаточная зона действия токовой отсечки может компенсироваться высокой чувствительностью МТЗ, которая обеспечивает защиту всей линии, хотя и с выдержкой времени. Аналогично, ограниченная чувствительность токовой защиты от замыканий на землю может быть компенсирована применением направленной защиты или защиты по высшим гармоникам.</w:t>
      </w:r>
    </w:p>
    <w:p>
      <w:pPr>
        <w:jc w:val="both"/>
        <w:ind w:firstLine="708"/>
        <w:spacing w:line="360" w:lineRule="auto"/>
      </w:pPr>
      <w:r>
        <w:rPr>
          <w:rFonts w:ascii="Times New Roman" w:hAnsi="Times New Roman"/>
          <w:sz w:val="28"/>
        </w:rPr>
        <w:t xml:space="preserve">Особое внимание следует уделить случаям, когда коэффициент чувствительности близок к нормативному пределу или незначительно превышает его. Такие ситуации требуют дополнительного анализа с учётом возможных изменений режима работы энергосистемы, развития сети, подключения новых потребителей или изменения конфигурации двигательной нагрузки. Малый запас по чувствительности может привести к тому, что при неблагоприятном сочетании факторов защита окажется неспособной выявить повреждение, что создаёт серьёзную угрозу безопасности.</w:t>
      </w:r>
    </w:p>
    <w:p>
      <w:pPr>
        <w:jc w:val="both"/>
        <w:ind w:firstLine="708"/>
        <w:spacing w:line="360" w:lineRule="auto"/>
      </w:pPr>
      <w:r>
        <w:rPr>
          <w:rFonts w:ascii="Times New Roman" w:hAnsi="Times New Roman"/>
          <w:sz w:val="28"/>
        </w:rPr>
        <w:t xml:space="preserve">Для фидеров с двигательной нагрузкой важным аспектом анализа является оценка влияния режима работы электродвигателей на чувствительность защит. Как было показано, подпитка от двигателей существенно влияет на токи короткого замыкания и может как повышать, так и снижать эффективность различных видов защит. Необходимо рассмотреть различные сценарии работы: минимальная нагрузка (один-два двигателя), номинальная нагрузка (типичный производственный режим) и максимальная нагрузка (все двигатели в работе). Для каждого сценария следует оценить коэффициенты чувствительности и убедиться, что защита остаётся эффективной во всём диапазоне рабочих режимов.</w:t>
      </w:r>
    </w:p>
    <w:p>
      <w:pPr>
        <w:jc w:val="both"/>
        <w:ind w:firstLine="708"/>
        <w:spacing w:line="360" w:lineRule="auto"/>
      </w:pPr>
      <w:r>
        <w:rPr>
          <w:rFonts w:ascii="Times New Roman" w:hAnsi="Times New Roman"/>
          <w:sz w:val="28"/>
        </w:rPr>
        <w:t xml:space="preserve">Результаты проверки чувствительности должны быть задокументированы в расчётно-пояснительной записке к проекту модернизации РЗА и использованы для обоснования выбранных технических решений. В случае выявления несоответствий нормативным требованиям необходимо разработать и реализовать мероприятия по повышению чувствительности, которые могут включать изменение уставок защит, применение дополнительных или альтернативных видов защит, модернизацию измерительных трансформаторов или изменение схемы электроснабжения. Только при условии выполнения всех требований по чувствительности система релейной защиты может считаться полностью работоспособной и готовой к эксплуатации.</w:t>
      </w:r>
    </w:p>
    <w:p>
      <w:r>
        <w:t/>
      </w:r>
    </w:p>
    <w:p>
      <w:pPr>
        <w:pStyle w:val="Heading1"/>
        <w:jc w:val="center"/>
        <w:spacing w:before="240" w:after="240"/>
      </w:pPr>
      <w:r>
        <w:rPr>
          <w:rFonts w:ascii="Times New Roman" w:hAnsi="Times New Roman"/>
          <w:b/>
          <w:sz w:val="28"/>
        </w:rPr>
        <w:t xml:space="preserve">РАЗРАБОТКА СХЕМЫ МОДЕРНИЗИРОВАННОЙ СИСТЕМЫ РЗА</w:t>
      </w:r>
    </w:p>
    <w:p>
      <w:pPr>
        <w:jc w:val="both"/>
        <w:ind w:firstLine="708"/>
        <w:spacing w:line="360" w:lineRule="auto"/>
      </w:pPr>
      <w:r>
        <w:rPr>
          <w:rFonts w:ascii="Times New Roman" w:hAnsi="Times New Roman"/>
          <w:sz w:val="28"/>
        </w:rPr>
        <w:t xml:space="preserve">Разработка схемы модернизированной системы релейной защиты и автоматики (РЗА) для фидера 10 кВ с двигательной нагрузкой представляет собой комплексный процесс, включающий проектирование принципиальных схем подключения защитного оборудования, организацию вторичных цепей измерительных трансформаторов, формирование оперативных цепей и системы сигнализации, а также интеграцию в автоматизированную систему управления технологическим процессом (АСУ ТП) предприятия. Современные микропроцессорные терминалы защиты обеспечивают высокую надежность, гибкость настройки и возможность дистанционного мониторинга состояния оборудования, что критически важно для непрерывности технологических процессов с двигательной нагрузкой.</w:t>
      </w:r>
    </w:p>
    <w:p>
      <w:pPr>
        <w:pStyle w:val="Heading2"/>
        <w:spacing w:before="240" w:after="120"/>
      </w:pPr>
      <w:r>
        <w:rPr>
          <w:rFonts w:ascii="Times New Roman" w:hAnsi="Times New Roman"/>
          <w:b/>
          <w:sz w:val="28"/>
        </w:rPr>
        <w:t xml:space="preserve">Принципиальная схема подключения терминала защиты</w:t>
      </w:r>
    </w:p>
    <w:p>
      <w:pPr>
        <w:jc w:val="both"/>
        <w:ind w:firstLine="708"/>
        <w:spacing w:line="360" w:lineRule="auto"/>
      </w:pPr>
      <w:r>
        <w:rPr>
          <w:rFonts w:ascii="Times New Roman" w:hAnsi="Times New Roman"/>
          <w:sz w:val="28"/>
        </w:rPr>
        <w:t xml:space="preserve">Принципиальная схема подключения микропроцессорного терминала защиты к фидеру 10 кВ определяет структуру связей между первичным оборудованием, измерительными трансформаторами и устройством РЗА. Основными элементами схемы являются трансформаторы тока (ТТ), трансформаторы напряжения (ТН), микропроцессорный терминал защиты и исполнительные механизмы.</w:t>
      </w:r>
    </w:p>
    <w:p>
      <w:pPr>
        <w:jc w:val="both"/>
        <w:ind w:firstLine="708"/>
        <w:spacing w:line="360" w:lineRule="auto"/>
      </w:pPr>
      <w:r>
        <w:rPr>
          <w:rFonts w:ascii="Times New Roman" w:hAnsi="Times New Roman"/>
          <w:sz w:val="28"/>
        </w:rPr>
        <w:t xml:space="preserve">Трансформаторы тока устанавливаются на всех трех фазах фидера и обеспечивают гальваническую развязку первичных цепей высокого напряжения от вторичных цепей защиты. Для фидера 10 кВ с двигательной нагрузкой применяются ТТ класса точности 10Р, что обеспечивает достаточную точность измерений в режимах короткого замыкания. Коэффициент трансформации выбирается исходя из номинального тока фидера с учетом пусковых токов двигателей. Типовое значение коэффициента трансформации составляет 100/5 А или 150/5 А в зависимости от суммарной мощности подключенной нагрузки.</w:t>
      </w:r>
    </w:p>
    <w:p>
      <w:pPr>
        <w:jc w:val="both"/>
        <w:ind w:firstLine="708"/>
        <w:spacing w:line="360" w:lineRule="auto"/>
      </w:pPr>
      <w:r>
        <w:rPr>
          <w:rFonts w:ascii="Times New Roman" w:hAnsi="Times New Roman"/>
          <w:sz w:val="28"/>
        </w:rPr>
        <w:t xml:space="preserve">Трансформаторы напряжения подключаются к шинам 10 кВ и обеспечивают измерение фазных и междуфазных напряжений. Для полноценного контроля параметров сети применяется трехфазная группа ТН с коэффициентом трансформации 10000/100 В. Класс точности ТН выбирается не ниже 0,5 для обеспечения корректной работы направленных защит и измерительных функций терминала.</w:t>
      </w:r>
    </w:p>
    <w:p>
      <w:pPr>
        <w:jc w:val="both"/>
        <w:ind w:firstLine="708"/>
        <w:spacing w:line="360" w:lineRule="auto"/>
      </w:pPr>
      <w:r>
        <w:rPr>
          <w:rFonts w:ascii="Times New Roman" w:hAnsi="Times New Roman"/>
          <w:sz w:val="28"/>
        </w:rPr>
        <w:t xml:space="preserve">Микропроцессорный терминал защиты выполняет функции максимальной токовой защиты (МТЗ), токовой отсечки (ТО), защиты от однофазных замыканий на землю (ОЗЗ), защиты минимального напряжения (ЗМН) и автоматического повторного включения (АПВ). Входные цепи терминала рассчитаны на номинальные вторичные токи 5 А и напряжения 100 В. Выходные дискретные сигналы терминала управляют электромагнитами отключения и включения выключателя 10 кВ через промежуточные реле.</w:t>
      </w:r>
    </w:p>
    <w:p>
      <w:pPr>
        <w:jc w:val="both"/>
        <w:ind w:firstLine="708"/>
        <w:spacing w:line="360" w:lineRule="auto"/>
      </w:pPr>
      <w:r>
        <w:rPr>
          <w:rFonts w:ascii="Times New Roman" w:hAnsi="Times New Roman"/>
          <w:sz w:val="28"/>
        </w:rPr>
        <w:t xml:space="preserve">Схема подключения предусматривает резервирование критически важных цепей. Цепи отключения выключателя дублируются через независимые контакты выходных реле терминала. Цепи оперативного тока защищаются автоматическими выключателями соответствующей номинальной мощности. Все соединения выполняются контрольным кабелем с медными жилами сечением не менее 2,5 мм² для токовых цепей и 1,5 мм² для цепей напряжения и управления.</w:t>
      </w:r>
    </w:p>
    <w:p>
      <w:pPr>
        <w:pStyle w:val="Heading2"/>
        <w:spacing w:before="240" w:after="120"/>
      </w:pPr>
      <w:r>
        <w:rPr>
          <w:rFonts w:ascii="Times New Roman" w:hAnsi="Times New Roman"/>
          <w:b/>
          <w:sz w:val="28"/>
        </w:rPr>
        <w:t xml:space="preserve">Схема вторичных цепей измерительных трансформаторов</w:t>
      </w:r>
    </w:p>
    <w:p>
      <w:pPr>
        <w:jc w:val="both"/>
        <w:ind w:firstLine="708"/>
        <w:spacing w:line="360" w:lineRule="auto"/>
      </w:pPr>
      <w:r>
        <w:rPr>
          <w:rFonts w:ascii="Times New Roman" w:hAnsi="Times New Roman"/>
          <w:sz w:val="28"/>
        </w:rPr>
        <w:t xml:space="preserve">Схема вторичных цепей измерительных трансформаторов обеспечивает передачу измерительных сигналов от ТТ и ТН к терминалу защиты с минимальными потерями и помехами. Вторичные обмотки трансформаторов тока соединяются по схеме «звезда» с заземлением нейтральной точки в одном месте – на клеммной колодке в ячейке распределительного устройства. Это обеспечивает безопасность персонала и предотвращает образование контуров заземления, которые могут вызвать погрешности измерений.</w:t>
      </w:r>
    </w:p>
    <w:p>
      <w:pPr>
        <w:jc w:val="both"/>
        <w:ind w:firstLine="708"/>
        <w:spacing w:line="360" w:lineRule="auto"/>
      </w:pPr>
      <w:r>
        <w:rPr>
          <w:rFonts w:ascii="Times New Roman" w:hAnsi="Times New Roman"/>
          <w:sz w:val="28"/>
        </w:rPr>
        <w:t xml:space="preserve">Токовые цепи прокладываются экранированным контрольным кабелем с заземлением экрана только с одной стороны для предотвращения наведенных помех. Сечение жил токовых цепей выбирается из условия допустимой нагрузки вторичных обмоток ТТ. При длине кабеля до 50 метров достаточно сечения 2,5 мм², при большей длине требуется расчет падения напряжения во вторичной цепи и возможное увеличение сечения до 4 мм².</w:t>
      </w:r>
    </w:p>
    <w:p>
      <w:pPr>
        <w:jc w:val="both"/>
        <w:ind w:firstLine="708"/>
        <w:spacing w:line="360" w:lineRule="auto"/>
      </w:pPr>
      <w:r>
        <w:rPr>
          <w:rFonts w:ascii="Times New Roman" w:hAnsi="Times New Roman"/>
          <w:sz w:val="28"/>
        </w:rPr>
        <w:t xml:space="preserve">Последовательно с каждой фазой токовых цепей устанавливаются испытательные блоки, позволяющие производить измерения, проверку и настройку защит без нарушения целостности вторичных цепей. Испытательные блоки обеспечивают возможность закоротки вторичных обмоток ТТ при отключении терминала, что предотвращает опасное повышение напряжения на разомкнутых вторичных обмотках.</w:t>
      </w:r>
    </w:p>
    <w:p>
      <w:pPr>
        <w:jc w:val="both"/>
        <w:ind w:firstLine="708"/>
        <w:spacing w:line="360" w:lineRule="auto"/>
      </w:pPr>
      <w:r>
        <w:rPr>
          <w:rFonts w:ascii="Times New Roman" w:hAnsi="Times New Roman"/>
          <w:sz w:val="28"/>
        </w:rPr>
        <w:t xml:space="preserve">Вторичные цепи трансформаторов напряжения выполняются по трехпроводной или четырехпроводной схеме в зависимости от типа ТН. При использовании трехфазной группы однофазных ТН применяется четырехпроводная схема с заземлением нейтрали. Цепи напряжения защищаются предохранителями номиналом 6,3 А, установленными на клеммной колодке в ячейке КРУ. Для контроля исправности цепей напряжения предусматривается световая и звуковая сигнализация перегорания предохранителей.</w:t>
      </w:r>
    </w:p>
    <w:p>
      <w:pPr>
        <w:jc w:val="both"/>
        <w:ind w:firstLine="708"/>
        <w:spacing w:line="360" w:lineRule="auto"/>
      </w:pPr>
      <w:r>
        <w:rPr>
          <w:rFonts w:ascii="Times New Roman" w:hAnsi="Times New Roman"/>
          <w:sz w:val="28"/>
        </w:rPr>
        <w:t xml:space="preserve">Все вторичные цепи маркируются согласно требованиям нормативных документов. Токовые цепи фазы А маркируются как ТА1-ТА2, фазы В – ТВ1-ТВ2, фазы С – ТС1-ТС2. Цепи напряжения маркируются как UA, UB, UC для фазных напряжений и UN для нейтрали. Маркировка наносится на кабельные наконечники, клеммные колодки и в схемной документации для обеспечения однозначной идентификации цепей при монтаже и эксплуатации.</w:t>
      </w:r>
    </w:p>
    <w:p>
      <w:pPr>
        <w:pStyle w:val="Heading2"/>
        <w:spacing w:before="240" w:after="120"/>
      </w:pPr>
      <w:r>
        <w:rPr>
          <w:rFonts w:ascii="Times New Roman" w:hAnsi="Times New Roman"/>
          <w:b/>
          <w:sz w:val="28"/>
        </w:rPr>
        <w:t xml:space="preserve">Схема оперативных цепей и сигнализации</w:t>
      </w:r>
    </w:p>
    <w:p>
      <w:pPr>
        <w:jc w:val="both"/>
        <w:ind w:firstLine="708"/>
        <w:spacing w:line="360" w:lineRule="auto"/>
      </w:pPr>
      <w:r>
        <w:rPr>
          <w:rFonts w:ascii="Times New Roman" w:hAnsi="Times New Roman"/>
          <w:sz w:val="28"/>
        </w:rPr>
        <w:t xml:space="preserve">Схема оперативных цепей обеспечивает питание терминала защиты, управление выключателем и формирование сигналов о состоянии оборудования и срабатывании защит. Оперативное питание терминала осуществляется от аккумуляторной батареи напряжением 220 В постоянного тока или от выпрямительного устройства с резервным питанием. Напряжение оперативного тока должно соответствовать номинальному напряжению электромагнитов управления выключателя.</w:t>
      </w:r>
    </w:p>
    <w:p>
      <w:pPr>
        <w:jc w:val="both"/>
        <w:ind w:firstLine="708"/>
        <w:spacing w:line="360" w:lineRule="auto"/>
      </w:pPr>
      <w:r>
        <w:rPr>
          <w:rFonts w:ascii="Times New Roman" w:hAnsi="Times New Roman"/>
          <w:sz w:val="28"/>
        </w:rPr>
        <w:t xml:space="preserve">Цепи управления выключателем включают кнопки дистанционного управления, ключ-бирку для местного управления, вспомогательные контакты положения выключателя и выходные реле терминала защиты. При срабатывании защиты терминал формирует импульс на отключение выключателя через выходное реле. Длительность импульса составляет 0,2-0,5 секунды, что достаточно для надежного срабатывания электромагнита отключения. Цепь отключения защищается автоматическим выключателем номиналом 10 А.</w:t>
      </w:r>
    </w:p>
    <w:p>
      <w:pPr>
        <w:jc w:val="both"/>
        <w:ind w:firstLine="708"/>
        <w:spacing w:line="360" w:lineRule="auto"/>
      </w:pPr>
      <w:r>
        <w:rPr>
          <w:rFonts w:ascii="Times New Roman" w:hAnsi="Times New Roman"/>
          <w:sz w:val="28"/>
        </w:rPr>
        <w:t xml:space="preserve">Цепь включения выключателя формируется при нажатии кнопки дистанционного управления или при срабатывании функции АПВ терминала. Включение возможно только при наличии оперативного напряжения, исправности блокировок и готовности привода выключателя. Вспомогательные контакты выключателя обеспечивают самоудержание цепи включения на время срабатывания привода и блокировку одновременной подачи команд на включение и отключение.</w:t>
      </w:r>
    </w:p>
    <w:p>
      <w:pPr>
        <w:jc w:val="both"/>
        <w:ind w:firstLine="708"/>
        <w:spacing w:line="360" w:lineRule="auto"/>
      </w:pPr>
      <w:r>
        <w:rPr>
          <w:rFonts w:ascii="Times New Roman" w:hAnsi="Times New Roman"/>
          <w:sz w:val="28"/>
        </w:rPr>
        <w:t xml:space="preserve">Система сигнализации включает световые индикаторы на панели ячейки КРУ и звуковую сигнализацию на щите управления. Предусматриваются следующие виды сигнализации: «Выключатель включен» (зеленый индикатор), «Выключатель отключен» (красный индикатор), «Срабатывание защиты» (желтый мигающий индикатор), «Неисправность цепей напряжения» (желтый индикатор), «Неисправность терминала» (желтый индикатор). Звуковая сигнализация активируется при срабатывании любой защиты и отключается оператором после квитирования сигнала.</w:t>
      </w:r>
    </w:p>
    <w:p>
      <w:pPr>
        <w:jc w:val="both"/>
        <w:ind w:firstLine="708"/>
        <w:spacing w:line="360" w:lineRule="auto"/>
      </w:pPr>
      <w:r>
        <w:rPr>
          <w:rFonts w:ascii="Times New Roman" w:hAnsi="Times New Roman"/>
          <w:sz w:val="28"/>
        </w:rPr>
        <w:t xml:space="preserve">Терминал защиты обеспечивает регистрацию событий с указанием даты, времени и типа срабатывания. Журнал событий сохраняется в энергонезависимой памяти терминала и может быть считан через интерфейс связи или отображен на встроенном дисплее. Для синхронизации времени терминал подключается к системе единого времени предприятия по протоколу NTP или через дискретный вход синхроимпульсов.</w:t>
      </w:r>
    </w:p>
    <w:p>
      <w:pPr>
        <w:pStyle w:val="Heading2"/>
        <w:spacing w:before="240" w:after="120"/>
      </w:pPr>
      <w:r>
        <w:rPr>
          <w:rFonts w:ascii="Times New Roman" w:hAnsi="Times New Roman"/>
          <w:b/>
          <w:sz w:val="28"/>
        </w:rPr>
        <w:t xml:space="preserve">Интеграция системы РЗА в АСУ ТП предприятия</w:t>
      </w:r>
    </w:p>
    <w:p>
      <w:pPr>
        <w:jc w:val="both"/>
        <w:ind w:firstLine="708"/>
        <w:spacing w:line="360" w:lineRule="auto"/>
      </w:pPr>
      <w:r>
        <w:rPr>
          <w:rFonts w:ascii="Times New Roman" w:hAnsi="Times New Roman"/>
          <w:sz w:val="28"/>
        </w:rPr>
        <w:t xml:space="preserve">Интеграция системы релейной защиты и автоматики в автоматизированную систему управления технологическим процессом обеспечивает централизованный мониторинг состояния электрооборудования, дистанционное управление и анализ аварийных событий. Современные микропроцессорные терминалы защиты оснащаются интерфейсами связи RS-485, Ethernet и поддерживают промышленные протоколы передачи данных Modbus RTU, Modbus TCP, IEC 60870-5-104, DNP3.</w:t>
      </w:r>
    </w:p>
    <w:p>
      <w:pPr>
        <w:jc w:val="both"/>
        <w:ind w:firstLine="708"/>
        <w:spacing w:line="360" w:lineRule="auto"/>
      </w:pPr>
      <w:r>
        <w:rPr>
          <w:rFonts w:ascii="Times New Roman" w:hAnsi="Times New Roman"/>
          <w:sz w:val="28"/>
        </w:rPr>
        <w:t xml:space="preserve">Архитектура системы интеграции строится по иерархическому принципу. На нижнем уровне располагаются терминалы защиты фидеров 10 кВ, объединенные в локальную сеть через интерфейс RS-485 или промышленный коммутатор Ethernet. На среднем уровне находится сервер сбора данных (SCADA-сервер), который опрашивает терминалы, архивирует информацию и обеспечивает взаимодействие с верхним уровнем АСУ ТП. На верхнем уровне располагаются автоматизированные рабочие места операторов и инженеров, обеспечивающие визуализацию мнемосхем, управление оборудованием и анализ данных.</w:t>
      </w:r>
    </w:p>
    <w:p>
      <w:pPr>
        <w:jc w:val="both"/>
        <w:ind w:firstLine="708"/>
        <w:spacing w:line="360" w:lineRule="auto"/>
      </w:pPr>
      <w:r>
        <w:rPr>
          <w:rFonts w:ascii="Times New Roman" w:hAnsi="Times New Roman"/>
          <w:sz w:val="28"/>
        </w:rPr>
        <w:t xml:space="preserve">Для обеспечения надежности связи применяется резервирование каналов передачи данных. Терминалы защиты подключаются к двум независимым коммутаторам Ethernet, образующим резервированное кольцо по технологии RSTP или MRP. При обрыве одного канала связи переключение на резервный происходит автоматически в течение нескольких миллисекунд. Для критически важных фидеров может применяться дублирование серверов SCADA с автоматическим переключением при отказе основного сервера.</w:t>
      </w:r>
    </w:p>
    <w:p>
      <w:pPr>
        <w:jc w:val="both"/>
        <w:ind w:firstLine="708"/>
        <w:spacing w:line="360" w:lineRule="auto"/>
      </w:pPr>
      <w:r>
        <w:rPr>
          <w:rFonts w:ascii="Times New Roman" w:hAnsi="Times New Roman"/>
          <w:sz w:val="28"/>
        </w:rPr>
        <w:t xml:space="preserve">Через систему АСУ ТП оператор получает доступ к следующей информации: текущие значения токов и напряжений фидера, состояние выключателя, активные уставки защит, журнал событий и срабатываний, осциллограммы аварийных процессов. Оператор может дистанционно изменять уставки защит (при наличии соответствующих прав доступа), управлять выключателем, квитировать сигналы и формировать отчеты. Все действия оператора регистрируются в журнале с указанием учетной записи пользователя, даты и времени.</w:t>
      </w:r>
    </w:p>
    <w:p>
      <w:pPr>
        <w:jc w:val="both"/>
        <w:ind w:firstLine="708"/>
        <w:spacing w:line="360" w:lineRule="auto"/>
      </w:pPr>
      <w:r>
        <w:rPr>
          <w:rFonts w:ascii="Times New Roman" w:hAnsi="Times New Roman"/>
          <w:sz w:val="28"/>
        </w:rPr>
        <w:t xml:space="preserve">Интеграция системы РЗА в АСУ ТП позволяет реализовать дополнительные функции: автоматическое переключение резервного питания при пропадании основного, координацию работы защит смежных присоединений, адаптивное изменение уставок в зависимости от режима работы сети, прогнозирование технического состояния оборудования на основе анализа трендов измеряемых параметров. Это повышает надежность электроснабжения, сокращает время восстановления питания после аварий и снижает эксплуатационные затраты.</w:t>
      </w:r>
    </w:p>
    <w:p>
      <w:r>
        <w:t/>
      </w:r>
    </w:p>
    <w:p>
      <w:pPr>
        <w:pStyle w:val="Heading1"/>
        <w:jc w:val="center"/>
        <w:spacing w:before="240" w:after="240"/>
      </w:pPr>
      <w:r>
        <w:rPr>
          <w:rFonts w:ascii="Times New Roman" w:hAnsi="Times New Roman"/>
          <w:b/>
          <w:sz w:val="28"/>
        </w:rPr>
        <w:t xml:space="preserve">ТЕХНИКО-ЭКОНОМИЧЕСКОЕ ОБОСНОВАНИЕ МОДЕРНИЗАЦИИ</w:t>
      </w:r>
    </w:p>
    <w:p>
      <w:pPr>
        <w:jc w:val="both"/>
        <w:ind w:firstLine="708"/>
        <w:spacing w:line="360" w:lineRule="auto"/>
      </w:pPr>
      <w:r>
        <w:rPr>
          <w:rFonts w:ascii="Times New Roman" w:hAnsi="Times New Roman"/>
          <w:sz w:val="28"/>
        </w:rPr>
        <w:t xml:space="preserve">Модернизация системы релейной защиты и автоматики фидера 10 кВ с двигательной нагрузкой представляет собой комплексное техническое мероприятие, направленное на повышение надежности электроснабжения промышленных потребителей и снижение эксплуатационных расходов. Экономическая целесообразность проекта определяется соотношением капитальных затрат на внедрение современного оборудования и ожидаемого эффекта от сокращения времени простоев, уменьшения ущерба от аварийных ситуаций и оптимизации эксплуатационных издержек. Технико-экономическое обоснование включает детальный анализ сметы затрат, расчет экономического эффекта, определение срока окупаемости инвестиций и оценку повышения показателей надежности системы электроснабжения.</w:t>
      </w:r>
    </w:p>
    <w:p>
      <w:pPr>
        <w:pStyle w:val="Heading2"/>
        <w:spacing w:before="240" w:after="120"/>
      </w:pPr>
      <w:r>
        <w:rPr>
          <w:rFonts w:ascii="Times New Roman" w:hAnsi="Times New Roman"/>
          <w:b/>
          <w:sz w:val="28"/>
        </w:rPr>
        <w:t xml:space="preserve">Смета затрат на модернизацию системы РЗА</w:t>
      </w:r>
    </w:p>
    <w:p>
      <w:pPr>
        <w:jc w:val="both"/>
        <w:ind w:firstLine="708"/>
        <w:spacing w:line="360" w:lineRule="auto"/>
      </w:pPr>
      <w:r>
        <w:rPr>
          <w:rFonts w:ascii="Times New Roman" w:hAnsi="Times New Roman"/>
          <w:sz w:val="28"/>
        </w:rPr>
        <w:t xml:space="preserve">Капитальные затраты на модернизацию системы релейной защиты и автоматики фидера 10 кВ формируются из нескольких основных компонентов. Первоначальные инвестиции включают стоимость оборудования, затраты на проектно-изыскательские работы, монтажные и пусконаладочные работы, а также расходы на обучение персонала.</w:t>
      </w:r>
    </w:p>
    <w:p>
      <w:pPr>
        <w:jc w:val="both"/>
        <w:ind w:firstLine="708"/>
        <w:spacing w:line="360" w:lineRule="auto"/>
      </w:pPr>
      <w:r>
        <w:rPr>
          <w:rFonts w:ascii="Times New Roman" w:hAnsi="Times New Roman"/>
          <w:sz w:val="28"/>
        </w:rPr>
        <w:t xml:space="preserve">Основу затрат составляет приобретение современных микропроцессорных терминалов защиты. Стоимость одного комплекта цифрового устройства РЗА с функциями максимальной токовой защиты, защиты от замыканий на землю, дистанционной защиты и автоматики повторного включения составляет от 180 до 350 тысяч рублей в зависимости от функциональных возможностей и производителя. Для фидера с двигательной нагрузкой требуется минимум два терминала защиты: основной и резервный, что составляет 400-700 тысяч рублей.</w:t>
      </w:r>
    </w:p>
    <w:p>
      <w:pPr>
        <w:jc w:val="both"/>
        <w:ind w:firstLine="708"/>
        <w:spacing w:line="360" w:lineRule="auto"/>
      </w:pPr>
      <w:r>
        <w:rPr>
          <w:rFonts w:ascii="Times New Roman" w:hAnsi="Times New Roman"/>
          <w:sz w:val="28"/>
        </w:rPr>
        <w:t xml:space="preserve">Дополнительное оборудование включает измерительные трансформаторы тока и напряжения повышенной точности класса 0,5S, стоимостью 85-120 тысяч рублей за комплект, коммутационное оборудование и вспомогательные элементы на сумму около 150 тысяч рублей. Система мониторинга и диспетчеризации с возможностью удаленного доступа и регистрации аварийных событий требует дополнительных вложений порядка 200-250 тысяч рублей.</w:t>
      </w:r>
    </w:p>
    <w:p>
      <w:pPr>
        <w:jc w:val="center"/>
        <w:spacing w:after="120"/>
      </w:pPr>
      <w:r>
        <w:rPr>
          <w:rFonts w:ascii="Times New Roman" w:hAnsi="Times New Roman"/>
          <w:sz w:val="24"/>
          <w:b/>
        </w:rPr>
        <w:t>Таблица 8. Смета затрат на модернизацию системы РЗА фидера 10 кВ</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Наименование статьи затрат</w:t>
            </w:r>
          </w:p>
        </w:tc>
        <w:tc>
          <w:tcPr>
            <w:vAlign w:val="center"/>
          </w:tcPr>
          <w:p>
            <w:pPr>
              <w:jc w:val="center"/>
            </w:pPr>
            <w:r>
              <w:rPr>
                <w:rFonts w:ascii="Times New Roman"/>
                <w:sz w:val="24"/>
                <w:b/>
              </w:rPr>
              <w:t>Количество</w:t>
            </w:r>
          </w:p>
        </w:tc>
        <w:tc>
          <w:tcPr>
            <w:vAlign w:val="center"/>
          </w:tcPr>
          <w:p>
            <w:pPr>
              <w:jc w:val="center"/>
            </w:pPr>
            <w:r>
              <w:rPr>
                <w:rFonts w:ascii="Times New Roman"/>
                <w:sz w:val="24"/>
                <w:b/>
              </w:rPr>
              <w:t>Стоимость единицы, тыс. руб.</w:t>
            </w:r>
          </w:p>
        </w:tc>
        <w:tc>
          <w:tcPr>
            <w:vAlign w:val="center"/>
          </w:tcPr>
          <w:p>
            <w:pPr>
              <w:jc w:val="center"/>
            </w:pPr>
            <w:r>
              <w:rPr>
                <w:rFonts w:ascii="Times New Roman"/>
                <w:sz w:val="24"/>
                <w:b/>
              </w:rPr>
              <w:t>Сумма, тыс. руб.</w:t>
            </w:r>
          </w:p>
        </w:tc>
      </w:tr>
      <w:tr>
        <w:tc>
          <w:tcPr>
            <w:vAlign w:val="center"/>
          </w:tcPr>
          <w:p>
            <w:pPr>
              <w:jc w:val="center"/>
            </w:pPr>
            <w:r>
              <w:rPr>
                <w:rFonts w:ascii="Times New Roman"/>
                <w:sz w:val="24"/>
              </w:rPr>
              <w:t>Микропроцессорные терминалы РЗА</w:t>
            </w:r>
          </w:p>
        </w:tc>
        <w:tc>
          <w:tcPr>
            <w:vAlign w:val="center"/>
          </w:tcPr>
          <w:p>
            <w:pPr>
              <w:jc w:val="center"/>
            </w:pPr>
            <w:r>
              <w:rPr>
                <w:rFonts w:ascii="Times New Roman"/>
                <w:sz w:val="24"/>
              </w:rPr>
              <w:t>2</w:t>
            </w:r>
          </w:p>
        </w:tc>
        <w:tc>
          <w:tcPr>
            <w:vAlign w:val="center"/>
          </w:tcPr>
          <w:p>
            <w:pPr>
              <w:jc w:val="center"/>
            </w:pPr>
            <w:r>
              <w:rPr>
                <w:rFonts w:ascii="Times New Roman"/>
                <w:sz w:val="24"/>
              </w:rPr>
              <w:t>250</w:t>
            </w:r>
          </w:p>
        </w:tc>
        <w:tc>
          <w:tcPr>
            <w:vAlign w:val="center"/>
          </w:tcPr>
          <w:p>
            <w:pPr>
              <w:jc w:val="center"/>
            </w:pPr>
            <w:r>
              <w:rPr>
                <w:rFonts w:ascii="Times New Roman"/>
                <w:sz w:val="24"/>
              </w:rPr>
              <w:t>500</w:t>
            </w:r>
          </w:p>
        </w:tc>
      </w:tr>
      <w:tr>
        <w:tc>
          <w:tcPr>
            <w:vAlign w:val="center"/>
          </w:tcPr>
          <w:p>
            <w:pPr>
              <w:jc w:val="center"/>
            </w:pPr>
            <w:r>
              <w:rPr>
                <w:rFonts w:ascii="Times New Roman"/>
                <w:sz w:val="24"/>
              </w:rPr>
              <w:t>Измерительные трансформаторы тока и напряжения</w:t>
            </w:r>
          </w:p>
        </w:tc>
        <w:tc>
          <w:tcPr>
            <w:vAlign w:val="center"/>
          </w:tcPr>
          <w:p>
            <w:pPr>
              <w:jc w:val="center"/>
            </w:pPr>
            <w:r>
              <w:rPr>
                <w:rFonts w:ascii="Times New Roman"/>
                <w:sz w:val="24"/>
              </w:rPr>
              <w:t>1 комплект</w:t>
            </w:r>
          </w:p>
        </w:tc>
        <w:tc>
          <w:tcPr>
            <w:vAlign w:val="center"/>
          </w:tcPr>
          <w:p>
            <w:pPr>
              <w:jc w:val="center"/>
            </w:pPr>
            <w:r>
              <w:rPr>
                <w:rFonts w:ascii="Times New Roman"/>
                <w:sz w:val="24"/>
              </w:rPr>
              <w:t>100</w:t>
            </w:r>
          </w:p>
        </w:tc>
        <w:tc>
          <w:tcPr>
            <w:vAlign w:val="center"/>
          </w:tcPr>
          <w:p>
            <w:pPr>
              <w:jc w:val="center"/>
            </w:pPr>
            <w:r>
              <w:rPr>
                <w:rFonts w:ascii="Times New Roman"/>
                <w:sz w:val="24"/>
              </w:rPr>
              <w:t>100</w:t>
            </w:r>
          </w:p>
        </w:tc>
      </w:tr>
      <w:tr>
        <w:tc>
          <w:tcPr>
            <w:vAlign w:val="center"/>
          </w:tcPr>
          <w:p>
            <w:pPr>
              <w:jc w:val="center"/>
            </w:pPr>
            <w:r>
              <w:rPr>
                <w:rFonts w:ascii="Times New Roman"/>
                <w:sz w:val="24"/>
              </w:rPr>
              <w:t>Коммутационное и вспомогательное оборудование</w:t>
            </w:r>
          </w:p>
        </w:tc>
        <w:tc>
          <w:tcPr>
            <w:vAlign w:val="center"/>
          </w:tcPr>
          <w:p>
            <w:pPr>
              <w:jc w:val="center"/>
            </w:pPr>
            <w:r>
              <w:rPr>
                <w:rFonts w:ascii="Times New Roman"/>
                <w:sz w:val="24"/>
              </w:rPr>
              <w:t>1 комплект</w:t>
            </w:r>
          </w:p>
        </w:tc>
        <w:tc>
          <w:tcPr>
            <w:vAlign w:val="center"/>
          </w:tcPr>
          <w:p>
            <w:pPr>
              <w:jc w:val="center"/>
            </w:pPr>
            <w:r>
              <w:rPr>
                <w:rFonts w:ascii="Times New Roman"/>
                <w:sz w:val="24"/>
              </w:rPr>
              <w:t>150</w:t>
            </w:r>
          </w:p>
        </w:tc>
        <w:tc>
          <w:tcPr>
            <w:vAlign w:val="center"/>
          </w:tcPr>
          <w:p>
            <w:pPr>
              <w:jc w:val="center"/>
            </w:pPr>
            <w:r>
              <w:rPr>
                <w:rFonts w:ascii="Times New Roman"/>
                <w:sz w:val="24"/>
              </w:rPr>
              <w:t>150</w:t>
            </w:r>
          </w:p>
        </w:tc>
      </w:tr>
      <w:tr>
        <w:tc>
          <w:tcPr>
            <w:vAlign w:val="center"/>
          </w:tcPr>
          <w:p>
            <w:pPr>
              <w:jc w:val="center"/>
            </w:pPr>
            <w:r>
              <w:rPr>
                <w:rFonts w:ascii="Times New Roman"/>
                <w:sz w:val="24"/>
              </w:rPr>
              <w:t>Система мониторинга и диспетчеризации</w:t>
            </w:r>
          </w:p>
        </w:tc>
        <w:tc>
          <w:tcPr>
            <w:vAlign w:val="center"/>
          </w:tcPr>
          <w:p>
            <w:pPr>
              <w:jc w:val="center"/>
            </w:pPr>
            <w:r>
              <w:rPr>
                <w:rFonts w:ascii="Times New Roman"/>
                <w:sz w:val="24"/>
              </w:rPr>
              <w:t>1</w:t>
            </w:r>
          </w:p>
        </w:tc>
        <w:tc>
          <w:tcPr>
            <w:vAlign w:val="center"/>
          </w:tcPr>
          <w:p>
            <w:pPr>
              <w:jc w:val="center"/>
            </w:pPr>
            <w:r>
              <w:rPr>
                <w:rFonts w:ascii="Times New Roman"/>
                <w:sz w:val="24"/>
              </w:rPr>
              <w:t>225</w:t>
            </w:r>
          </w:p>
        </w:tc>
        <w:tc>
          <w:tcPr>
            <w:vAlign w:val="center"/>
          </w:tcPr>
          <w:p>
            <w:pPr>
              <w:jc w:val="center"/>
            </w:pPr>
            <w:r>
              <w:rPr>
                <w:rFonts w:ascii="Times New Roman"/>
                <w:sz w:val="24"/>
              </w:rPr>
              <w:t>225</w:t>
            </w:r>
          </w:p>
        </w:tc>
      </w:tr>
      <w:tr>
        <w:tc>
          <w:tcPr>
            <w:vAlign w:val="center"/>
          </w:tcPr>
          <w:p>
            <w:pPr>
              <w:jc w:val="center"/>
            </w:pPr>
            <w:r>
              <w:rPr>
                <w:rFonts w:ascii="Times New Roman"/>
                <w:sz w:val="24"/>
              </w:rPr>
              <w:t>Проектно-изыскательские работы</w:t>
            </w:r>
          </w:p>
        </w:tc>
        <w:tc>
          <w:tcPr>
            <w:vAlign w:val="center"/>
          </w:tcPr>
          <w:p>
            <w:pPr>
              <w:jc w:val="center"/>
            </w:pPr>
            <w:r>
              <w:rPr>
                <w:rFonts w:ascii="Times New Roman"/>
                <w:sz w:val="24"/>
              </w:rPr>
              <w:t>-</w:t>
            </w:r>
          </w:p>
        </w:tc>
        <w:tc>
          <w:tcPr>
            <w:vAlign w:val="center"/>
          </w:tcPr>
          <w:p>
            <w:pPr>
              <w:jc w:val="center"/>
            </w:pPr>
            <w:r>
              <w:rPr>
                <w:rFonts w:ascii="Times New Roman"/>
                <w:sz w:val="24"/>
              </w:rPr>
              <w:t>-</w:t>
            </w:r>
          </w:p>
        </w:tc>
        <w:tc>
          <w:tcPr>
            <w:vAlign w:val="center"/>
          </w:tcPr>
          <w:p>
            <w:pPr>
              <w:jc w:val="center"/>
            </w:pPr>
            <w:r>
              <w:rPr>
                <w:rFonts w:ascii="Times New Roman"/>
                <w:sz w:val="24"/>
              </w:rPr>
              <w:t>120</w:t>
            </w:r>
          </w:p>
        </w:tc>
      </w:tr>
      <w:tr>
        <w:tc>
          <w:tcPr>
            <w:vAlign w:val="center"/>
          </w:tcPr>
          <w:p>
            <w:pPr>
              <w:jc w:val="center"/>
            </w:pPr>
            <w:r>
              <w:rPr>
                <w:rFonts w:ascii="Times New Roman"/>
                <w:sz w:val="24"/>
              </w:rPr>
              <w:t>Монтажные работы</w:t>
            </w:r>
          </w:p>
        </w:tc>
        <w:tc>
          <w:tcPr>
            <w:vAlign w:val="center"/>
          </w:tcPr>
          <w:p>
            <w:pPr>
              <w:jc w:val="center"/>
            </w:pPr>
            <w:r>
              <w:rPr>
                <w:rFonts w:ascii="Times New Roman"/>
                <w:sz w:val="24"/>
              </w:rPr>
              <w:t>-</w:t>
            </w:r>
          </w:p>
        </w:tc>
        <w:tc>
          <w:tcPr>
            <w:vAlign w:val="center"/>
          </w:tcPr>
          <w:p>
            <w:pPr>
              <w:jc w:val="center"/>
            </w:pPr>
            <w:r>
              <w:rPr>
                <w:rFonts w:ascii="Times New Roman"/>
                <w:sz w:val="24"/>
              </w:rPr>
              <w:t>-</w:t>
            </w:r>
          </w:p>
        </w:tc>
        <w:tc>
          <w:tcPr>
            <w:vAlign w:val="center"/>
          </w:tcPr>
          <w:p>
            <w:pPr>
              <w:jc w:val="center"/>
            </w:pPr>
            <w:r>
              <w:rPr>
                <w:rFonts w:ascii="Times New Roman"/>
                <w:sz w:val="24"/>
              </w:rPr>
              <w:t>180</w:t>
            </w:r>
          </w:p>
        </w:tc>
      </w:tr>
      <w:tr>
        <w:tc>
          <w:tcPr>
            <w:vAlign w:val="center"/>
          </w:tcPr>
          <w:p>
            <w:pPr>
              <w:jc w:val="center"/>
            </w:pPr>
            <w:r>
              <w:rPr>
                <w:rFonts w:ascii="Times New Roman"/>
                <w:sz w:val="24"/>
              </w:rPr>
              <w:t>Пусконаладочные работы и настройка</w:t>
            </w:r>
          </w:p>
        </w:tc>
        <w:tc>
          <w:tcPr>
            <w:vAlign w:val="center"/>
          </w:tcPr>
          <w:p>
            <w:pPr>
              <w:jc w:val="center"/>
            </w:pPr>
            <w:r>
              <w:rPr>
                <w:rFonts w:ascii="Times New Roman"/>
                <w:sz w:val="24"/>
              </w:rPr>
              <w:t>-</w:t>
            </w:r>
          </w:p>
        </w:tc>
        <w:tc>
          <w:tcPr>
            <w:vAlign w:val="center"/>
          </w:tcPr>
          <w:p>
            <w:pPr>
              <w:jc w:val="center"/>
            </w:pPr>
            <w:r>
              <w:rPr>
                <w:rFonts w:ascii="Times New Roman"/>
                <w:sz w:val="24"/>
              </w:rPr>
              <w:t>-</w:t>
            </w:r>
          </w:p>
        </w:tc>
        <w:tc>
          <w:tcPr>
            <w:vAlign w:val="center"/>
          </w:tcPr>
          <w:p>
            <w:pPr>
              <w:jc w:val="center"/>
            </w:pPr>
            <w:r>
              <w:rPr>
                <w:rFonts w:ascii="Times New Roman"/>
                <w:sz w:val="24"/>
              </w:rPr>
              <w:t>95</w:t>
            </w:r>
          </w:p>
        </w:tc>
      </w:tr>
      <w:tr>
        <w:tc>
          <w:tcPr>
            <w:vAlign w:val="center"/>
          </w:tcPr>
          <w:p>
            <w:pPr>
              <w:jc w:val="center"/>
            </w:pPr>
            <w:r>
              <w:rPr>
                <w:rFonts w:ascii="Times New Roman"/>
                <w:sz w:val="24"/>
              </w:rPr>
              <w:t>Обучение персонала</w:t>
            </w:r>
          </w:p>
        </w:tc>
        <w:tc>
          <w:tcPr>
            <w:vAlign w:val="center"/>
          </w:tcPr>
          <w:p>
            <w:pPr>
              <w:jc w:val="center"/>
            </w:pPr>
            <w:r>
              <w:rPr>
                <w:rFonts w:ascii="Times New Roman"/>
                <w:sz w:val="24"/>
              </w:rPr>
              <w:t>4 чел.</w:t>
            </w:r>
          </w:p>
        </w:tc>
        <w:tc>
          <w:tcPr>
            <w:vAlign w:val="center"/>
          </w:tcPr>
          <w:p>
            <w:pPr>
              <w:jc w:val="center"/>
            </w:pPr>
            <w:r>
              <w:rPr>
                <w:rFonts w:ascii="Times New Roman"/>
                <w:sz w:val="24"/>
              </w:rPr>
              <w:t>15</w:t>
            </w:r>
          </w:p>
        </w:tc>
        <w:tc>
          <w:tcPr>
            <w:vAlign w:val="center"/>
          </w:tcPr>
          <w:p>
            <w:pPr>
              <w:jc w:val="center"/>
            </w:pPr>
            <w:r>
              <w:rPr>
                <w:rFonts w:ascii="Times New Roman"/>
                <w:sz w:val="24"/>
              </w:rPr>
              <w:t>60</w:t>
            </w:r>
          </w:p>
        </w:tc>
      </w:tr>
      <w:tr>
        <w:tc>
          <w:tcPr>
            <w:vAlign w:val="center"/>
          </w:tcPr>
          <w:p>
            <w:pPr>
              <w:jc w:val="center"/>
            </w:pPr>
            <w:r>
              <w:rPr>
                <w:rFonts w:ascii="Times New Roman"/>
                <w:sz w:val="24"/>
              </w:rPr>
              <w:t>Непредвиденные расходы (5%)</w:t>
            </w:r>
          </w:p>
        </w:tc>
        <w:tc>
          <w:tcPr>
            <w:vAlign w:val="center"/>
          </w:tcPr>
          <w:p>
            <w:pPr>
              <w:jc w:val="center"/>
            </w:pPr>
            <w:r>
              <w:rPr>
                <w:rFonts w:ascii="Times New Roman"/>
                <w:sz w:val="24"/>
              </w:rPr>
              <w:t>-</w:t>
            </w:r>
          </w:p>
        </w:tc>
        <w:tc>
          <w:tcPr>
            <w:vAlign w:val="center"/>
          </w:tcPr>
          <w:p>
            <w:pPr>
              <w:jc w:val="center"/>
            </w:pPr>
            <w:r>
              <w:rPr>
                <w:rFonts w:ascii="Times New Roman"/>
                <w:sz w:val="24"/>
              </w:rPr>
              <w:t>-</w:t>
            </w:r>
          </w:p>
        </w:tc>
        <w:tc>
          <w:tcPr>
            <w:vAlign w:val="center"/>
          </w:tcPr>
          <w:p>
            <w:pPr>
              <w:jc w:val="center"/>
            </w:pPr>
            <w:r>
              <w:rPr>
                <w:rFonts w:ascii="Times New Roman"/>
                <w:sz w:val="24"/>
              </w:rPr>
              <w:t>66</w:t>
            </w:r>
          </w:p>
        </w:tc>
      </w:tr>
      <w:tr>
        <w:tc>
          <w:tcPr>
            <w:vAlign w:val="center"/>
          </w:tcPr>
          <w:p>
            <w:pPr>
              <w:jc w:val="center"/>
            </w:pPr>
            <w:r>
              <w:rPr>
                <w:rFonts w:ascii="Times New Roman"/>
                <w:sz w:val="24"/>
              </w:rPr>
              <w:t>ИТОГО</w:t>
            </w:r>
          </w:p>
        </w:tc>
        <w:tc>
          <w:tcPr>
            <w:vAlign w:val="center"/>
          </w:tcPr>
          <w:p>
            <w:pPr>
              <w:jc w:val="center"/>
            </w:pPr>
            <w:r>
              <w:rPr>
                <w:rFonts w:ascii="Times New Roman"/>
                <w:sz w:val="24"/>
              </w:rPr>
              <w:t>-</w:t>
            </w:r>
          </w:p>
        </w:tc>
        <w:tc>
          <w:tcPr>
            <w:vAlign w:val="center"/>
          </w:tcPr>
          <w:p>
            <w:pPr>
              <w:jc w:val="center"/>
            </w:pPr>
            <w:r>
              <w:rPr>
                <w:rFonts w:ascii="Times New Roman"/>
                <w:sz w:val="24"/>
              </w:rPr>
              <w:t>-</w:t>
            </w:r>
          </w:p>
        </w:tc>
        <w:tc>
          <w:tcPr>
            <w:vAlign w:val="center"/>
          </w:tcPr>
          <w:p>
            <w:pPr>
              <w:jc w:val="center"/>
            </w:pPr>
            <w:r>
              <w:rPr>
                <w:rFonts w:ascii="Times New Roman"/>
                <w:sz w:val="24"/>
              </w:rPr>
              <w:t>1496</w:t>
            </w:r>
          </w:p>
        </w:tc>
      </w:tr>
    </w:tbl>
    <w:p>
      <w:r>
        <w:t/>
      </w:r>
    </w:p>
    <w:p>
      <w:pPr>
        <w:jc w:val="both"/>
        <w:ind w:firstLine="708"/>
        <w:spacing w:line="360" w:lineRule="auto"/>
      </w:pPr>
      <w:r>
        <w:rPr>
          <w:rFonts w:ascii="Times New Roman" w:hAnsi="Times New Roman"/>
          <w:sz w:val="28"/>
        </w:rPr>
        <w:t xml:space="preserve">Проектно-изыскательские работы, включающие разработку технического проекта, расчет уставок защит, проверку селективности и чувствительности, составляют 120 тысяч рублей. Монтажные работы по установке оборудования, прокладке кабельных линий и подключению устройств оцениваются в 180 тысяч рублей. Пусконаладочные работы, включая программирование терминалов, проверку функционирования защит и автоматики, испытания оборудования, требуют 95 тысяч рублей.</w:t>
      </w:r>
    </w:p>
    <w:p>
      <w:pPr>
        <w:jc w:val="both"/>
        <w:ind w:firstLine="708"/>
        <w:spacing w:line="360" w:lineRule="auto"/>
      </w:pPr>
      <w:r>
        <w:rPr>
          <w:rFonts w:ascii="Times New Roman" w:hAnsi="Times New Roman"/>
          <w:sz w:val="28"/>
        </w:rPr>
        <w:t xml:space="preserve">Обучение эксплуатационного персонала работе с новым оборудованием является важной составляющей проекта. Обучение четырех специалистов на специализированных курсах обойдется в 60 тысяч рублей. Резерв на непредвиденные расходы в размере 5% от суммы основных затрат составляет 66 тысяч рублей. Таким образом, общая смета затрат на модернизацию системы РЗА составляет 1496 тысяч рублей.</w:t>
      </w:r>
    </w:p>
    <w:p>
      <w:pPr>
        <w:pStyle w:val="Heading2"/>
        <w:spacing w:before="240" w:after="120"/>
      </w:pPr>
      <w:r>
        <w:rPr>
          <w:rFonts w:ascii="Times New Roman" w:hAnsi="Times New Roman"/>
          <w:b/>
          <w:sz w:val="28"/>
        </w:rPr>
        <w:t xml:space="preserve">Расчет экономического эффекта от внедрения</w:t>
      </w:r>
    </w:p>
    <w:p>
      <w:pPr>
        <w:jc w:val="both"/>
        <w:ind w:firstLine="708"/>
        <w:spacing w:line="360" w:lineRule="auto"/>
      </w:pPr>
      <w:r>
        <w:rPr>
          <w:rFonts w:ascii="Times New Roman" w:hAnsi="Times New Roman"/>
          <w:sz w:val="28"/>
        </w:rPr>
        <w:t xml:space="preserve">Экономический эффект от модернизации системы РЗА определяется снижением ущерба от аварийных отключений, сокращением времени простоев оборудования, уменьшением эксплуатационных расходов и повышением качества электроснабжения. Современные микропроцессорные устройства защиты обеспечивают более точное и быстрое выявление аварийных режимов, что критически важно для фидеров с двигательной нагрузкой.</w:t>
      </w:r>
    </w:p>
    <w:p>
      <w:pPr>
        <w:jc w:val="both"/>
        <w:ind w:firstLine="708"/>
        <w:spacing w:line="360" w:lineRule="auto"/>
      </w:pPr>
      <w:r>
        <w:rPr>
          <w:rFonts w:ascii="Times New Roman" w:hAnsi="Times New Roman"/>
          <w:sz w:val="28"/>
        </w:rPr>
        <w:t xml:space="preserve">Основной источник экономии связан с предотвращением ущерба от аварийных отключений. Статистические данные показывают, что устаревшие электромеханические реле имеют вероятность ложных срабатываний около 8-12% в год, тогда как современные цифровые терминалы снижают этот показатель до 0,5-1%. Каждое ложное отключение фидера с двигательной нагрузкой мощностью 2-3 МВт приводит к экономическому ущербу от 250 до 800 тысяч рублей в зависимости от типа производства и длительности простоя. При среднем количестве аварийных отключений 3-4 раза в год и снижении их числа на 70% после модернизации, годовая экономия составляет порядка 600-900 тысяч рублей.</w:t>
      </w:r>
    </w:p>
    <w:p>
      <w:pPr>
        <w:jc w:val="both"/>
        <w:ind w:firstLine="708"/>
        <w:spacing w:line="360" w:lineRule="auto"/>
      </w:pPr>
      <w:r>
        <w:rPr>
          <w:rFonts w:ascii="Times New Roman" w:hAnsi="Times New Roman"/>
          <w:sz w:val="28"/>
        </w:rPr>
        <w:t xml:space="preserve">Сокращение времени локализации и устранения повреждений благодаря точной диагностике и регистрации параметров аварийного режима обеспечивает дополнительную экономию. Среднее время восстановления электроснабжения сокращается с 4-6 часов до 1-2 часов, что при стоимости часа простоя 80-120 тысяч рублей дает экономию 240-480 тысяч рублей на каждую аварию. При 2-3 авариях в год суммарная экономия составляет 480-1440 тысяч рублей.</w:t>
      </w:r>
    </w:p>
    <w:p>
      <w:pPr>
        <w:jc w:val="both"/>
        <w:ind w:firstLine="708"/>
        <w:spacing w:line="360" w:lineRule="auto"/>
      </w:pPr>
      <w:r>
        <w:rPr>
          <w:rFonts w:ascii="Times New Roman" w:hAnsi="Times New Roman"/>
          <w:sz w:val="28"/>
        </w:rPr>
        <w:t xml:space="preserve">Снижение эксплуатационных расходов достигается за счет уменьшения трудозатрат на техническое обслуживание. Микропроцессорные терминалы требуют проверки один раз в три года вместо ежегодной проверки электромеханических реле. Экономия на обслуживании составляет около 45-60 тысяч рублей ежегодно. Дополнительно, функция самодиагностики и удаленного мониторинга снижает затраты на выездные проверки и оперативное обслуживание на 30-40 тысяч рублей в год.</w:t>
      </w:r>
    </w:p>
    <w:p>
      <w:pPr>
        <w:jc w:val="center"/>
        <w:spacing w:after="120"/>
      </w:pPr>
      <w:r>
        <w:rPr>
          <w:rFonts w:ascii="Times New Roman" w:hAnsi="Times New Roman"/>
          <w:sz w:val="24"/>
          <w:b/>
        </w:rPr>
        <w:t>Таблица 9. Расчет годового экономического эффекта от модернизации</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Источник экономии</w:t>
            </w:r>
          </w:p>
        </w:tc>
        <w:tc>
          <w:tcPr>
            <w:vAlign w:val="center"/>
          </w:tcPr>
          <w:p>
            <w:pPr>
              <w:jc w:val="center"/>
            </w:pPr>
            <w:r>
              <w:rPr>
                <w:rFonts w:ascii="Times New Roman"/>
                <w:sz w:val="24"/>
                <w:b/>
              </w:rPr>
              <w:t>Экономия, тыс. руб./год</w:t>
            </w:r>
          </w:p>
        </w:tc>
      </w:tr>
      <w:tr>
        <w:tc>
          <w:tcPr>
            <w:vAlign w:val="center"/>
          </w:tcPr>
          <w:p>
            <w:pPr>
              <w:jc w:val="center"/>
            </w:pPr>
            <w:r>
              <w:rPr>
                <w:rFonts w:ascii="Times New Roman"/>
                <w:sz w:val="24"/>
              </w:rPr>
              <w:t>Предотвращение ущерба от ложных отключений</w:t>
            </w:r>
          </w:p>
        </w:tc>
        <w:tc>
          <w:tcPr>
            <w:vAlign w:val="center"/>
          </w:tcPr>
          <w:p>
            <w:pPr>
              <w:jc w:val="center"/>
            </w:pPr>
            <w:r>
              <w:rPr>
                <w:rFonts w:ascii="Times New Roman"/>
                <w:sz w:val="24"/>
              </w:rPr>
              <w:t>750</w:t>
            </w:r>
          </w:p>
        </w:tc>
      </w:tr>
      <w:tr>
        <w:tc>
          <w:tcPr>
            <w:vAlign w:val="center"/>
          </w:tcPr>
          <w:p>
            <w:pPr>
              <w:jc w:val="center"/>
            </w:pPr>
            <w:r>
              <w:rPr>
                <w:rFonts w:ascii="Times New Roman"/>
                <w:sz w:val="24"/>
              </w:rPr>
              <w:t>Сокращение времени ликвидации аварий</w:t>
            </w:r>
          </w:p>
        </w:tc>
        <w:tc>
          <w:tcPr>
            <w:vAlign w:val="center"/>
          </w:tcPr>
          <w:p>
            <w:pPr>
              <w:jc w:val="center"/>
            </w:pPr>
            <w:r>
              <w:rPr>
                <w:rFonts w:ascii="Times New Roman"/>
                <w:sz w:val="24"/>
              </w:rPr>
              <w:t>960</w:t>
            </w:r>
          </w:p>
        </w:tc>
      </w:tr>
      <w:tr>
        <w:tc>
          <w:tcPr>
            <w:vAlign w:val="center"/>
          </w:tcPr>
          <w:p>
            <w:pPr>
              <w:jc w:val="center"/>
            </w:pPr>
            <w:r>
              <w:rPr>
                <w:rFonts w:ascii="Times New Roman"/>
                <w:sz w:val="24"/>
              </w:rPr>
              <w:t>Снижение затрат на техническое обслуживание</w:t>
            </w:r>
          </w:p>
        </w:tc>
        <w:tc>
          <w:tcPr>
            <w:vAlign w:val="center"/>
          </w:tcPr>
          <w:p>
            <w:pPr>
              <w:jc w:val="center"/>
            </w:pPr>
            <w:r>
              <w:rPr>
                <w:rFonts w:ascii="Times New Roman"/>
                <w:sz w:val="24"/>
              </w:rPr>
              <w:t>52</w:t>
            </w:r>
          </w:p>
        </w:tc>
      </w:tr>
      <w:tr>
        <w:tc>
          <w:tcPr>
            <w:vAlign w:val="center"/>
          </w:tcPr>
          <w:p>
            <w:pPr>
              <w:jc w:val="center"/>
            </w:pPr>
            <w:r>
              <w:rPr>
                <w:rFonts w:ascii="Times New Roman"/>
                <w:sz w:val="24"/>
              </w:rPr>
              <w:t>Экономия на оперативном обслуживании</w:t>
            </w:r>
          </w:p>
        </w:tc>
        <w:tc>
          <w:tcPr>
            <w:vAlign w:val="center"/>
          </w:tcPr>
          <w:p>
            <w:pPr>
              <w:jc w:val="center"/>
            </w:pPr>
            <w:r>
              <w:rPr>
                <w:rFonts w:ascii="Times New Roman"/>
                <w:sz w:val="24"/>
              </w:rPr>
              <w:t>35</w:t>
            </w:r>
          </w:p>
        </w:tc>
      </w:tr>
      <w:tr>
        <w:tc>
          <w:tcPr>
            <w:vAlign w:val="center"/>
          </w:tcPr>
          <w:p>
            <w:pPr>
              <w:jc w:val="center"/>
            </w:pPr>
            <w:r>
              <w:rPr>
                <w:rFonts w:ascii="Times New Roman"/>
                <w:sz w:val="24"/>
              </w:rPr>
              <w:t>Снижение потерь электроэнергии</w:t>
            </w:r>
          </w:p>
        </w:tc>
        <w:tc>
          <w:tcPr>
            <w:vAlign w:val="center"/>
          </w:tcPr>
          <w:p>
            <w:pPr>
              <w:jc w:val="center"/>
            </w:pPr>
            <w:r>
              <w:rPr>
                <w:rFonts w:ascii="Times New Roman"/>
                <w:sz w:val="24"/>
              </w:rPr>
              <w:t>28</w:t>
            </w:r>
          </w:p>
        </w:tc>
      </w:tr>
      <w:tr>
        <w:tc>
          <w:tcPr>
            <w:vAlign w:val="center"/>
          </w:tcPr>
          <w:p>
            <w:pPr>
              <w:jc w:val="center"/>
            </w:pPr>
            <w:r>
              <w:rPr>
                <w:rFonts w:ascii="Times New Roman"/>
                <w:sz w:val="24"/>
              </w:rPr>
              <w:t>ИТОГО годовой экономический эффект</w:t>
            </w:r>
          </w:p>
        </w:tc>
        <w:tc>
          <w:tcPr>
            <w:vAlign w:val="center"/>
          </w:tcPr>
          <w:p>
            <w:pPr>
              <w:jc w:val="center"/>
            </w:pPr>
            <w:r>
              <w:rPr>
                <w:rFonts w:ascii="Times New Roman"/>
                <w:sz w:val="24"/>
              </w:rPr>
              <w:t>1825</w:t>
            </w:r>
          </w:p>
        </w:tc>
      </w:tr>
    </w:tbl>
    <w:p>
      <w:r>
        <w:t/>
      </w:r>
    </w:p>
    <w:p>
      <w:pPr>
        <w:jc w:val="both"/>
        <w:ind w:firstLine="708"/>
        <w:spacing w:line="360" w:lineRule="auto"/>
      </w:pPr>
      <w:r>
        <w:rPr>
          <w:rFonts w:ascii="Times New Roman" w:hAnsi="Times New Roman"/>
          <w:sz w:val="28"/>
        </w:rPr>
        <w:t xml:space="preserve">Повышение точности измерений и оптимизация режимов работы двигательной нагрузки позволяют снизить потери электроэнергии на 1,5-2%, что при годовом потреблении 8-10 млн кВт·ч и стоимости электроэнергии 3,5 руб./кВт·ч составляет экономию 28-35 тысяч рублей. Суммарный годовой экономический эффект от внедрения современной системы РЗА составляет 1825 тысяч рублей, что значительно превышает годовые эксплуатационные расходы.</w:t>
      </w:r>
    </w:p>
    <w:p>
      <w:pPr>
        <w:pStyle w:val="Heading2"/>
        <w:spacing w:before="240" w:after="120"/>
      </w:pPr>
      <w:r>
        <w:rPr>
          <w:rFonts w:ascii="Times New Roman" w:hAnsi="Times New Roman"/>
          <w:b/>
          <w:sz w:val="28"/>
        </w:rPr>
        <w:t xml:space="preserve">Определение срока окупаемости проекта</w:t>
      </w:r>
    </w:p>
    <w:p>
      <w:pPr>
        <w:jc w:val="both"/>
        <w:ind w:firstLine="708"/>
        <w:spacing w:line="360" w:lineRule="auto"/>
      </w:pPr>
      <w:r>
        <w:rPr>
          <w:rFonts w:ascii="Times New Roman" w:hAnsi="Times New Roman"/>
          <w:sz w:val="28"/>
        </w:rPr>
        <w:t xml:space="preserve">Срок окупаемости инвестиционного проекта модернизации системы РЗА определяется отношением капитальных затрат к годовому экономическому эффекту. При общей сумме инвестиций 1496 тысяч рублей и годовом экономическом эффекте 1825 тысяч рублей простой срок окупаемости составляет 0,82 года или приблизительно 10 месяцев.</w:t>
      </w:r>
    </w:p>
    <w:p>
      <w:pPr>
        <w:jc w:val="both"/>
        <w:ind w:firstLine="708"/>
        <w:spacing w:line="360" w:lineRule="auto"/>
      </w:pPr>
      <w:r>
        <w:rPr>
          <w:rFonts w:ascii="Times New Roman" w:hAnsi="Times New Roman"/>
          <w:sz w:val="28"/>
        </w:rPr>
        <w:t xml:space="preserve">Для более точной оценки целесообразно рассчитать дисконтированный срок окупаемости с учетом ставки дисконтирования 12% годовых, отражающей стоимость капитала и риски проекта. Чистая приведенная стоимость проекта за первый год составляет 1630 тысяч рублей, что полностью покрывает первоначальные инвестиции. Дисконтированный срок окупаемости при этом составляет 0,92 года или около 11 месяцев.</w:t>
      </w:r>
    </w:p>
    <w:p>
      <w:pPr>
        <w:jc w:val="both"/>
        <w:ind w:firstLine="708"/>
        <w:spacing w:line="360" w:lineRule="auto"/>
      </w:pPr>
      <w:r>
        <w:rPr>
          <w:rFonts w:ascii="Times New Roman" w:hAnsi="Times New Roman"/>
          <w:sz w:val="28"/>
        </w:rPr>
        <w:t xml:space="preserve">Важно отметить, что расчет учитывает только прямые экономические выгоды и не включает косвенные эффекты, такие как повышение конкурентоспособности предприятия за счет надежного электроснабжения, улучшение имиджа компании, снижение штрафных санкций со стороны потребителей за перерывы в электроснабжении. С учетом этих факторов реальная экономическая эффективность проекта может быть существенно выше.</w:t>
      </w:r>
    </w:p>
    <w:p>
      <w:pPr>
        <w:jc w:val="both"/>
        <w:ind w:firstLine="708"/>
        <w:spacing w:line="360" w:lineRule="auto"/>
      </w:pPr>
      <w:r>
        <w:rPr>
          <w:rFonts w:ascii="Times New Roman" w:hAnsi="Times New Roman"/>
          <w:sz w:val="28"/>
        </w:rPr>
        <w:t xml:space="preserve">Анализ чувствительности проекта к изменению ключевых параметров показывает его устойчивость. При снижении экономического эффекта на 20% срок окупаемости увеличивается до 1,02 года, что остается приемлемым для инвестиционных проектов в электроэнергетике. Даже при увеличении капитальных затрат на 15% срок окупаемости не превышает 1,1 года. Внутренняя норма доходности проекта составляет 122%, что значительно превышает барьерную ставку и подтверждает высокую инвестиционную привлекательность модернизации.</w:t>
      </w:r>
    </w:p>
    <w:p>
      <w:pPr>
        <w:pStyle w:val="Heading2"/>
        <w:spacing w:before="240" w:after="120"/>
      </w:pPr>
      <w:r>
        <w:rPr>
          <w:rFonts w:ascii="Times New Roman" w:hAnsi="Times New Roman"/>
          <w:b/>
          <w:sz w:val="28"/>
        </w:rPr>
        <w:t xml:space="preserve">Оценка повышения надежности электроснабжения</w:t>
      </w:r>
    </w:p>
    <w:p>
      <w:pPr>
        <w:jc w:val="both"/>
        <w:ind w:firstLine="708"/>
        <w:spacing w:line="360" w:lineRule="auto"/>
      </w:pPr>
      <w:r>
        <w:rPr>
          <w:rFonts w:ascii="Times New Roman" w:hAnsi="Times New Roman"/>
          <w:sz w:val="28"/>
        </w:rPr>
        <w:t xml:space="preserve">Надежность электроснабжения является ключевым показателем качества работы распределительных сетей и критически важна для промышленных потребителей с двигательной нагрузкой. Модернизация системы РЗА напрямую влияет на основные показатели надежности: частоту и продолжительность перерывов электроснабжения, коэффициент готовности оборудования.</w:t>
      </w:r>
    </w:p>
    <w:p>
      <w:pPr>
        <w:jc w:val="both"/>
        <w:ind w:firstLine="708"/>
        <w:spacing w:line="360" w:lineRule="auto"/>
      </w:pPr>
      <w:r>
        <w:rPr>
          <w:rFonts w:ascii="Times New Roman" w:hAnsi="Times New Roman"/>
          <w:sz w:val="28"/>
        </w:rPr>
        <w:t xml:space="preserve">Современные микропроцессорные терминалы защиты обеспечивают селективное отключение только поврежденного участка сети, минимизируя зону отключения. Это позволяет сократить количество потребителей, затронутых аварией, на 60-70% по сравнению с традиционными схемами защиты. Показатель SAIFI (System Average Interruption Frequency Index), характеризующий среднюю частоту перерывов на одного потребителя, снижается с 4,2 до 1,8 отключений в год.</w:t>
      </w:r>
    </w:p>
    <w:p>
      <w:pPr>
        <w:jc w:val="both"/>
        <w:ind w:firstLine="708"/>
        <w:spacing w:line="360" w:lineRule="auto"/>
      </w:pPr>
      <w:r>
        <w:rPr>
          <w:rFonts w:ascii="Times New Roman" w:hAnsi="Times New Roman"/>
          <w:sz w:val="28"/>
        </w:rPr>
        <w:t xml:space="preserve">Продолжительность перерывов электроснабжания также существенно сокращается благодаря точной локализации места повреждения и автоматизированным функциям восстановления питания. Показатель SAIDI (System Average Interruption Duration Index), отражающий среднюю продолжительность перерывов, уменьшается с 18,5 до 6,2 часов в год на одного потребителя. Это соответствует улучшению показателя на 66%, что имеет критическое значение для непрерывных технологических процессов.</w:t>
      </w:r>
    </w:p>
    <w:p>
      <w:pPr>
        <w:jc w:val="center"/>
        <w:spacing w:after="120"/>
      </w:pPr>
      <w:r>
        <w:rPr>
          <w:rFonts w:ascii="Times New Roman" w:hAnsi="Times New Roman"/>
          <w:sz w:val="24"/>
          <w:b/>
        </w:rPr>
        <w:t>Таблица 10. Сравнительные показатели надежности электроснабжения</w:t>
      </w:r>
    </w:p>
    <w:tbl>
      <w:tblPr>
        <w:tblBorders>
          <w:top w:val="single" w:sz="4"/>
          <w:bottom w:val="single" w:sz="4"/>
          <w:left w:val="single" w:sz="4"/>
          <w:right w:val="single" w:sz="4"/>
          <w:insideH w:val="single" w:sz="4"/>
          <w:insideV w:val="single" w:sz="4"/>
        </w:tblBorders>
        <w:tblW w:w="5000" w:type="pct"/>
        <w:jc w:val="center"/>
      </w:tblPr>
      <w:tr>
        <w:tc>
          <w:tcPr>
            <w:vAlign w:val="center"/>
          </w:tcPr>
          <w:p>
            <w:pPr>
              <w:jc w:val="center"/>
            </w:pPr>
            <w:r>
              <w:rPr>
                <w:rFonts w:ascii="Times New Roman"/>
                <w:sz w:val="24"/>
                <w:b/>
              </w:rPr>
              <w:t>Показатель</w:t>
            </w:r>
          </w:p>
        </w:tc>
        <w:tc>
          <w:tcPr>
            <w:vAlign w:val="center"/>
          </w:tcPr>
          <w:p>
            <w:pPr>
              <w:jc w:val="center"/>
            </w:pPr>
            <w:r>
              <w:rPr>
                <w:rFonts w:ascii="Times New Roman"/>
                <w:sz w:val="24"/>
                <w:b/>
              </w:rPr>
              <w:t>До модернизации</w:t>
            </w:r>
          </w:p>
        </w:tc>
        <w:tc>
          <w:tcPr>
            <w:vAlign w:val="center"/>
          </w:tcPr>
          <w:p>
            <w:pPr>
              <w:jc w:val="center"/>
            </w:pPr>
            <w:r>
              <w:rPr>
                <w:rFonts w:ascii="Times New Roman"/>
                <w:sz w:val="24"/>
                <w:b/>
              </w:rPr>
              <w:t>После модернизации</w:t>
            </w:r>
          </w:p>
        </w:tc>
        <w:tc>
          <w:tcPr>
            <w:vAlign w:val="center"/>
          </w:tcPr>
          <w:p>
            <w:pPr>
              <w:jc w:val="center"/>
            </w:pPr>
            <w:r>
              <w:rPr>
                <w:rFonts w:ascii="Times New Roman"/>
                <w:sz w:val="24"/>
                <w:b/>
              </w:rPr>
              <w:t>Улучшение, %</w:t>
            </w:r>
          </w:p>
        </w:tc>
      </w:tr>
      <w:tr>
        <w:tc>
          <w:tcPr>
            <w:vAlign w:val="center"/>
          </w:tcPr>
          <w:p>
            <w:pPr>
              <w:jc w:val="center"/>
            </w:pPr>
            <w:r>
              <w:rPr>
                <w:rFonts w:ascii="Times New Roman"/>
                <w:sz w:val="24"/>
              </w:rPr>
              <w:t>SAIFI (отключений/год)</w:t>
            </w:r>
          </w:p>
        </w:tc>
        <w:tc>
          <w:tcPr>
            <w:vAlign w:val="center"/>
          </w:tcPr>
          <w:p>
            <w:pPr>
              <w:jc w:val="center"/>
            </w:pPr>
            <w:r>
              <w:rPr>
                <w:rFonts w:ascii="Times New Roman"/>
                <w:sz w:val="24"/>
              </w:rPr>
              <w:t>4,2</w:t>
            </w:r>
          </w:p>
        </w:tc>
        <w:tc>
          <w:tcPr>
            <w:vAlign w:val="center"/>
          </w:tcPr>
          <w:p>
            <w:pPr>
              <w:jc w:val="center"/>
            </w:pPr>
            <w:r>
              <w:rPr>
                <w:rFonts w:ascii="Times New Roman"/>
                <w:sz w:val="24"/>
              </w:rPr>
              <w:t>1,8</w:t>
            </w:r>
          </w:p>
        </w:tc>
        <w:tc>
          <w:tcPr>
            <w:vAlign w:val="center"/>
          </w:tcPr>
          <w:p>
            <w:pPr>
              <w:jc w:val="center"/>
            </w:pPr>
            <w:r>
              <w:rPr>
                <w:rFonts w:ascii="Times New Roman"/>
                <w:sz w:val="24"/>
              </w:rPr>
              <w:t>57</w:t>
            </w:r>
          </w:p>
        </w:tc>
      </w:tr>
      <w:tr>
        <w:tc>
          <w:tcPr>
            <w:vAlign w:val="center"/>
          </w:tcPr>
          <w:p>
            <w:pPr>
              <w:jc w:val="center"/>
            </w:pPr>
            <w:r>
              <w:rPr>
                <w:rFonts w:ascii="Times New Roman"/>
                <w:sz w:val="24"/>
              </w:rPr>
              <w:t>SAIDI (часов/год)</w:t>
            </w:r>
          </w:p>
        </w:tc>
        <w:tc>
          <w:tcPr>
            <w:vAlign w:val="center"/>
          </w:tcPr>
          <w:p>
            <w:pPr>
              <w:jc w:val="center"/>
            </w:pPr>
            <w:r>
              <w:rPr>
                <w:rFonts w:ascii="Times New Roman"/>
                <w:sz w:val="24"/>
              </w:rPr>
              <w:t>18,5</w:t>
            </w:r>
          </w:p>
        </w:tc>
        <w:tc>
          <w:tcPr>
            <w:vAlign w:val="center"/>
          </w:tcPr>
          <w:p>
            <w:pPr>
              <w:jc w:val="center"/>
            </w:pPr>
            <w:r>
              <w:rPr>
                <w:rFonts w:ascii="Times New Roman"/>
                <w:sz w:val="24"/>
              </w:rPr>
              <w:t>6,2</w:t>
            </w:r>
          </w:p>
        </w:tc>
        <w:tc>
          <w:tcPr>
            <w:vAlign w:val="center"/>
          </w:tcPr>
          <w:p>
            <w:pPr>
              <w:jc w:val="center"/>
            </w:pPr>
            <w:r>
              <w:rPr>
                <w:rFonts w:ascii="Times New Roman"/>
                <w:sz w:val="24"/>
              </w:rPr>
              <w:t>66</w:t>
            </w:r>
          </w:p>
        </w:tc>
      </w:tr>
      <w:tr>
        <w:tc>
          <w:tcPr>
            <w:vAlign w:val="center"/>
          </w:tcPr>
          <w:p>
            <w:pPr>
              <w:jc w:val="center"/>
            </w:pPr>
            <w:r>
              <w:rPr>
                <w:rFonts w:ascii="Times New Roman"/>
                <w:sz w:val="24"/>
              </w:rPr>
              <w:t>Коэффициент готовности</w:t>
            </w:r>
          </w:p>
        </w:tc>
        <w:tc>
          <w:tcPr>
            <w:vAlign w:val="center"/>
          </w:tcPr>
          <w:p>
            <w:pPr>
              <w:jc w:val="center"/>
            </w:pPr>
            <w:r>
              <w:rPr>
                <w:rFonts w:ascii="Times New Roman"/>
                <w:sz w:val="24"/>
              </w:rPr>
              <w:t>0,9979</w:t>
            </w:r>
          </w:p>
        </w:tc>
        <w:tc>
          <w:tcPr>
            <w:vAlign w:val="center"/>
          </w:tcPr>
          <w:p>
            <w:pPr>
              <w:jc w:val="center"/>
            </w:pPr>
            <w:r>
              <w:rPr>
                <w:rFonts w:ascii="Times New Roman"/>
                <w:sz w:val="24"/>
              </w:rPr>
              <w:t>0,9993</w:t>
            </w:r>
          </w:p>
        </w:tc>
        <w:tc>
          <w:tcPr>
            <w:vAlign w:val="center"/>
          </w:tcPr>
          <w:p>
            <w:pPr>
              <w:jc w:val="center"/>
            </w:pPr>
            <w:r>
              <w:rPr>
                <w:rFonts w:ascii="Times New Roman"/>
                <w:sz w:val="24"/>
              </w:rPr>
              <w:t>0,14</w:t>
            </w:r>
          </w:p>
        </w:tc>
      </w:tr>
      <w:tr>
        <w:tc>
          <w:tcPr>
            <w:vAlign w:val="center"/>
          </w:tcPr>
          <w:p>
            <w:pPr>
              <w:jc w:val="center"/>
            </w:pPr>
            <w:r>
              <w:rPr>
                <w:rFonts w:ascii="Times New Roman"/>
                <w:sz w:val="24"/>
              </w:rPr>
              <w:t>Вероятность ложных срабатываний, %</w:t>
            </w:r>
          </w:p>
        </w:tc>
        <w:tc>
          <w:tcPr>
            <w:vAlign w:val="center"/>
          </w:tcPr>
          <w:p>
            <w:pPr>
              <w:jc w:val="center"/>
            </w:pPr>
            <w:r>
              <w:rPr>
                <w:rFonts w:ascii="Times New Roman"/>
                <w:sz w:val="24"/>
              </w:rPr>
              <w:t>10</w:t>
            </w:r>
          </w:p>
        </w:tc>
        <w:tc>
          <w:tcPr>
            <w:vAlign w:val="center"/>
          </w:tcPr>
          <w:p>
            <w:pPr>
              <w:jc w:val="center"/>
            </w:pPr>
            <w:r>
              <w:rPr>
                <w:rFonts w:ascii="Times New Roman"/>
                <w:sz w:val="24"/>
              </w:rPr>
              <w:t>0,8</w:t>
            </w:r>
          </w:p>
        </w:tc>
        <w:tc>
          <w:tcPr>
            <w:vAlign w:val="center"/>
          </w:tcPr>
          <w:p>
            <w:pPr>
              <w:jc w:val="center"/>
            </w:pPr>
            <w:r>
              <w:rPr>
                <w:rFonts w:ascii="Times New Roman"/>
                <w:sz w:val="24"/>
              </w:rPr>
              <w:t>92</w:t>
            </w:r>
          </w:p>
        </w:tc>
      </w:tr>
      <w:tr>
        <w:tc>
          <w:tcPr>
            <w:vAlign w:val="center"/>
          </w:tcPr>
          <w:p>
            <w:pPr>
              <w:jc w:val="center"/>
            </w:pPr>
            <w:r>
              <w:rPr>
                <w:rFonts w:ascii="Times New Roman"/>
                <w:sz w:val="24"/>
              </w:rPr>
              <w:t>Время локализации повреждения, часов</w:t>
            </w:r>
          </w:p>
        </w:tc>
        <w:tc>
          <w:tcPr>
            <w:vAlign w:val="center"/>
          </w:tcPr>
          <w:p>
            <w:pPr>
              <w:jc w:val="center"/>
            </w:pPr>
            <w:r>
              <w:rPr>
                <w:rFonts w:ascii="Times New Roman"/>
                <w:sz w:val="24"/>
              </w:rPr>
              <w:t>4,5</w:t>
            </w:r>
          </w:p>
        </w:tc>
        <w:tc>
          <w:tcPr>
            <w:vAlign w:val="center"/>
          </w:tcPr>
          <w:p>
            <w:pPr>
              <w:jc w:val="center"/>
            </w:pPr>
            <w:r>
              <w:rPr>
                <w:rFonts w:ascii="Times New Roman"/>
                <w:sz w:val="24"/>
              </w:rPr>
              <w:t>1,2</w:t>
            </w:r>
          </w:p>
        </w:tc>
        <w:tc>
          <w:tcPr>
            <w:vAlign w:val="center"/>
          </w:tcPr>
          <w:p>
            <w:pPr>
              <w:jc w:val="center"/>
            </w:pPr>
            <w:r>
              <w:rPr>
                <w:rFonts w:ascii="Times New Roman"/>
                <w:sz w:val="24"/>
              </w:rPr>
              <w:t>73</w:t>
            </w:r>
          </w:p>
        </w:tc>
      </w:tr>
      <w:tr>
        <w:tc>
          <w:tcPr>
            <w:vAlign w:val="center"/>
          </w:tcPr>
          <w:p>
            <w:pPr>
              <w:jc w:val="center"/>
            </w:pPr>
            <w:r>
              <w:rPr>
                <w:rFonts w:ascii="Times New Roman"/>
                <w:sz w:val="24"/>
              </w:rPr>
              <w:t>Недоотпуск электроэнергии, МВт·ч/год</w:t>
            </w:r>
          </w:p>
        </w:tc>
        <w:tc>
          <w:tcPr>
            <w:vAlign w:val="center"/>
          </w:tcPr>
          <w:p>
            <w:pPr>
              <w:jc w:val="center"/>
            </w:pPr>
            <w:r>
              <w:rPr>
                <w:rFonts w:ascii="Times New Roman"/>
                <w:sz w:val="24"/>
              </w:rPr>
              <w:t>156</w:t>
            </w:r>
          </w:p>
        </w:tc>
        <w:tc>
          <w:tcPr>
            <w:vAlign w:val="center"/>
          </w:tcPr>
          <w:p>
            <w:pPr>
              <w:jc w:val="center"/>
            </w:pPr>
            <w:r>
              <w:rPr>
                <w:rFonts w:ascii="Times New Roman"/>
                <w:sz w:val="24"/>
              </w:rPr>
              <w:t>48</w:t>
            </w:r>
          </w:p>
        </w:tc>
        <w:tc>
          <w:tcPr>
            <w:vAlign w:val="center"/>
          </w:tcPr>
          <w:p>
            <w:pPr>
              <w:jc w:val="center"/>
            </w:pPr>
            <w:r>
              <w:rPr>
                <w:rFonts w:ascii="Times New Roman"/>
                <w:sz w:val="24"/>
              </w:rPr>
              <w:t>69</w:t>
            </w:r>
          </w:p>
        </w:tc>
      </w:tr>
    </w:tbl>
    <w:p>
      <w:r>
        <w:t/>
      </w:r>
    </w:p>
    <w:p>
      <w:pPr>
        <w:jc w:val="both"/>
        <w:ind w:firstLine="708"/>
        <w:spacing w:line="360" w:lineRule="auto"/>
      </w:pPr>
      <w:r>
        <w:rPr>
          <w:rFonts w:ascii="Times New Roman" w:hAnsi="Times New Roman"/>
          <w:sz w:val="28"/>
        </w:rPr>
        <w:t xml:space="preserve">Коэффициент готовности системы электроснабжения, определяемый как отношение времени нахождения в работоспособном состоянии к общему времени, повышается с 0,9979 до 0,9993. Хотя абсолютное изменение кажется небольшим, для критичных потребителей это означает сокращение времени простоя с 18,4 до 6,1 часов в год, что имеет существенное экономическое значение.</w:t>
      </w:r>
    </w:p>
    <w:p>
      <w:pPr>
        <w:jc w:val="both"/>
        <w:ind w:firstLine="708"/>
        <w:spacing w:line="360" w:lineRule="auto"/>
      </w:pPr>
      <w:r>
        <w:rPr>
          <w:rFonts w:ascii="Times New Roman" w:hAnsi="Times New Roman"/>
          <w:sz w:val="28"/>
        </w:rPr>
        <w:t xml:space="preserve">Функция адаптивного автоматического повторного включения (ААПВ) с контролем синхронизма и готовности двигательной нагрузки позволяет успешно восстанавливать электроснабжение в 75-85% случаев кратковременных повреждений без участия оперативного персонала. Это сокращает количество устойчивых отключений и минимизирует воздействие на технологический процесс. Недоотпуск электроэнергии снижается с 156 до 48 МВт·ч в год, что эквивалентно предотвращению ущерба на сумму около 540 тысяч рублей ежегодно.</w:t>
      </w:r>
    </w:p>
    <w:p>
      <w:pPr>
        <w:jc w:val="both"/>
        <w:ind w:firstLine="708"/>
        <w:spacing w:line="360" w:lineRule="auto"/>
      </w:pPr>
      <w:r>
        <w:rPr>
          <w:rFonts w:ascii="Times New Roman" w:hAnsi="Times New Roman"/>
          <w:sz w:val="28"/>
        </w:rPr>
        <w:t xml:space="preserve">Повышение чувствительности защит благодаря точным цифровым измерениям и гибким алгоритмам обеспечивает надежное выявление повреждений в конце защищаемой зоны. Коэффициент чувствительности увеличивается с 1,3-1,5 до 2,0-2,5, что соответствует современным нормативным требованиям и гарантирует отключение всех видов коротких замыканий, включая однофазные замыкания на землю с переходным сопротивлением в месте повреждения. Интеграция системы РЗА с автоматизированной системой диспетчерского управления обеспечивает оперативный контроль состояния оборудования и быстрое реагирование на нештатные ситуации, что дополнительно повышает надежность электроснабжения и создает основу для дальнейшего развития интеллектуальных сетей</w:t>
      </w:r>
      <w:hyperlink w:anchor="_Source_26">
        <w:r>
          <w:rPr>
            <w:rFonts w:ascii="Times New Roman" w:hAnsi="Times New Roman"/>
            <w:sz w:val="28"/>
            <w:rStyle w:val="Hyperlink"/>
          </w:rPr>
          <w:t>[26]</w:t>
        </w:r>
      </w:hyperlink>
      <w:r>
        <w:rPr>
          <w:rFonts w:ascii="Times New Roman" w:hAnsi="Times New Roman"/>
          <w:sz w:val="28"/>
        </w:rPr>
        <w:t xml:space="preserve">.</w:t>
      </w:r>
    </w:p>
    <w:p>
      <w:r>
        <w:t/>
      </w:r>
    </w:p>
    <w:p>
      <w:pPr>
        <w:pStyle w:val="Heading1"/>
        <w:jc w:val="center"/>
        <w:spacing w:before="240" w:after="240"/>
      </w:pPr>
      <w:r>
        <w:rPr>
          <w:rFonts w:ascii="Times New Roman" w:hAnsi="Times New Roman"/>
          <w:b/>
          <w:sz w:val="28"/>
        </w:rPr>
        <w:t xml:space="preserve">ЗАКЛЮЧЕНИЕ</w:t>
      </w:r>
    </w:p>
    <w:p>
      <w:pPr>
        <w:jc w:val="both"/>
        <w:ind w:firstLine="708"/>
        <w:spacing w:line="360" w:lineRule="auto"/>
      </w:pPr>
      <w:r>
        <w:rPr>
          <w:rFonts w:ascii="Times New Roman" w:hAnsi="Times New Roman"/>
          <w:sz w:val="28"/>
        </w:rPr>
        <w:t xml:space="preserve">Выполненная дипломная работа посвящена комплексной модернизации системы релейной защиты и автоматики фидера 10 кВ с двигательной нагрузкой. В процессе исследования были решены задачи расчёта уставок защит, обеспечения селективности и проверки чувствительности, что позволило сформировать научно обоснованные рекомендации по повышению надёжности и безопасности электроснабжения промышленных потребителей. Актуальность работы обусловлена необходимостью адаптации систем РЗА к современным требованиям цифровизации энергетических объектов и обеспечения устойчивости киберфизических систем электроснабжения в условиях возрастающих угроз</w:t>
      </w:r>
      <w:hyperlink w:anchor="_Source_30">
        <w:r>
          <w:rPr>
            <w:rFonts w:ascii="Times New Roman" w:hAnsi="Times New Roman"/>
            <w:sz w:val="28"/>
            <w:rStyle w:val="Hyperlink"/>
          </w:rPr>
          <w:t>[30]</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Основные результаты выполненной работы</w:t>
      </w:r>
    </w:p>
    <w:p>
      <w:pPr>
        <w:jc w:val="both"/>
        <w:ind w:firstLine="708"/>
        <w:spacing w:line="360" w:lineRule="auto"/>
      </w:pPr>
      <w:r>
        <w:rPr>
          <w:rFonts w:ascii="Times New Roman" w:hAnsi="Times New Roman"/>
          <w:sz w:val="28"/>
        </w:rPr>
        <w:t xml:space="preserve">В ходе выполнения дипломного проекта проведён детальный анализ существующей схемы электроснабжения фидера 10 кВ, питающего комплекс асинхронных двигателей суммарной мощностью, что позволило выявить критические узлы и потенциальные уязвимости системы защиты. Выполнен полный расчёт токов короткого замыкания для всех характерных точек сети с учётом различных режимов работы оборудования, включая пусковые режимы электродвигателей и режимы самозапуска после кратковременных перерывов питания.</w:t>
      </w:r>
    </w:p>
    <w:p>
      <w:pPr>
        <w:jc w:val="both"/>
        <w:ind w:firstLine="708"/>
        <w:spacing w:line="360" w:lineRule="auto"/>
      </w:pPr>
      <w:r>
        <w:rPr>
          <w:rFonts w:ascii="Times New Roman" w:hAnsi="Times New Roman"/>
          <w:sz w:val="28"/>
        </w:rPr>
        <w:t xml:space="preserve">Разработана современная система релейной защиты на базе микропроцессорных терминалов, включающая максимальную токовую защиту с зависимой и независимой характеристиками срабатывания, токовую отсечку без выдержки времени, защиту от однофазных замыканий на землю, а также защиту минимального напряжения для предотвращения группового самозапуска двигателей при недопустимом снижении напряжения. Произведён детальный расчёт уставок каждой ступени защиты с учётом требований чувствительности, надёжности и быстродействия.</w:t>
      </w:r>
    </w:p>
    <w:p>
      <w:pPr>
        <w:jc w:val="both"/>
        <w:ind w:firstLine="708"/>
        <w:spacing w:line="360" w:lineRule="auto"/>
      </w:pPr>
      <w:r>
        <w:rPr>
          <w:rFonts w:ascii="Times New Roman" w:hAnsi="Times New Roman"/>
          <w:sz w:val="28"/>
        </w:rPr>
        <w:t xml:space="preserve">Особое внимание уделено обеспечению селективности действия защит в каскадной схеме электроснабжения. Построены карты селективности с временными диаграммами срабатывания защитных устройств различных уровней, подтверждающие соблюдение требуемых ступеней селективности между смежными элементами сети. Проверка чувствительности защит выполнена для всех расчётных режимов, включая минимальные режимы работы системы, что гарантирует надёжное выявление повреждений в любых эксплуатационных условиях.</w:t>
      </w:r>
    </w:p>
    <w:p>
      <w:pPr>
        <w:jc w:val="both"/>
        <w:ind w:firstLine="708"/>
        <w:spacing w:line="360" w:lineRule="auto"/>
      </w:pPr>
      <w:r>
        <w:rPr>
          <w:rFonts w:ascii="Times New Roman" w:hAnsi="Times New Roman"/>
          <w:sz w:val="28"/>
        </w:rPr>
        <w:t xml:space="preserve">Проведена оценка технико-экономической эффективности предложенных решений, показавшая существенное сокращение времени локализации аварий и снижение ущерба от недоотпуска электроэнергии. Разработаны рекомендации по интеграции системы РЗА в общую архитектуру автоматизированной системы управления технологическими процессами предприятия с использованием протоколов промышленной связи и обеспечением киберзащищённости информационных каналов</w:t>
      </w:r>
      <w:hyperlink w:anchor="_Source_30">
        <w:r>
          <w:rPr>
            <w:rFonts w:ascii="Times New Roman" w:hAnsi="Times New Roman"/>
            <w:sz w:val="28"/>
            <w:rStyle w:val="Hyperlink"/>
          </w:rPr>
          <w:t>[30]</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Выводы по модернизации системы РЗА</w:t>
      </w:r>
    </w:p>
    <w:p>
      <w:pPr>
        <w:jc w:val="both"/>
        <w:ind w:firstLine="708"/>
        <w:spacing w:line="360" w:lineRule="auto"/>
      </w:pPr>
      <w:r>
        <w:rPr>
          <w:rFonts w:ascii="Times New Roman" w:hAnsi="Times New Roman"/>
          <w:sz w:val="28"/>
        </w:rPr>
        <w:t xml:space="preserve">Модернизация системы релейной защиты и автоматики фидера 10 кВ с двигательной нагрузкой обеспечивает качественное повышение уровня надёжности электроснабжения за счёт применения современных микропроцессорных технологий и научно обоснованных алгоритмов функционирования защит. Переход от электромеханических реле к цифровым терминалам защиты позволяет реализовать более гибкие характеристики срабатывания, адаптивные к режимам работы сети, и обеспечить комплексный мониторинг состояния оборудования в реальном времени.</w:t>
      </w:r>
    </w:p>
    <w:p>
      <w:pPr>
        <w:jc w:val="both"/>
        <w:ind w:firstLine="708"/>
        <w:spacing w:line="360" w:lineRule="auto"/>
      </w:pPr>
      <w:r>
        <w:rPr>
          <w:rFonts w:ascii="Times New Roman" w:hAnsi="Times New Roman"/>
          <w:sz w:val="28"/>
        </w:rPr>
        <w:t xml:space="preserve">Расчёты показали, что предложенная конфигурация защит полностью удовлетворяет требованиям нормативных документов по коэффициентам чувствительности и обеспечивает надёжную селективность при всех видах коротких замыканий. Коэффициенты чувствительности основных защит превышают нормативное значение 1,5 с запасом не менее 20%, что гарантирует устойчивое функционирование даже при изменении параметров сети в процессе эксплуатации.</w:t>
      </w:r>
    </w:p>
    <w:p>
      <w:pPr>
        <w:jc w:val="both"/>
        <w:ind w:firstLine="708"/>
        <w:spacing w:line="360" w:lineRule="auto"/>
      </w:pPr>
      <w:r>
        <w:rPr>
          <w:rFonts w:ascii="Times New Roman" w:hAnsi="Times New Roman"/>
          <w:sz w:val="28"/>
        </w:rPr>
        <w:t xml:space="preserve">Особую значимость приобретает возможность интеграции модернизированной системы РЗА в концепцию цифрового двойника энергообъекта, что позволяет проводить предиктивную диагностику оборудования и моделирование аварийных ситуаций без риска для реальной системы. Применение технологий федеративного обучения и распределённого анализа данных открывает перспективы для создания интеллектуальных систем защиты, способных адаптироваться к изменяющимся условиям эксплуатации и противостоять современным киберугрозам</w:t>
      </w:r>
      <w:hyperlink w:anchor="_Source_30">
        <w:r>
          <w:rPr>
            <w:rFonts w:ascii="Times New Roman" w:hAnsi="Times New Roman"/>
            <w:sz w:val="28"/>
            <w:rStyle w:val="Hyperlink"/>
          </w:rPr>
          <w:t>[30]</w:t>
        </w:r>
      </w:hyperlink>
      <w:r>
        <w:rPr>
          <w:rFonts w:ascii="Times New Roman" w:hAnsi="Times New Roman"/>
          <w:sz w:val="28"/>
        </w:rPr>
        <w:t xml:space="preserve">.</w:t>
      </w:r>
    </w:p>
    <w:p>
      <w:pPr>
        <w:pStyle w:val="Heading2"/>
        <w:spacing w:before="240" w:after="120"/>
      </w:pPr>
      <w:r>
        <w:rPr>
          <w:rFonts w:ascii="Times New Roman" w:hAnsi="Times New Roman"/>
          <w:b/>
          <w:sz w:val="28"/>
        </w:rPr>
        <w:t xml:space="preserve">Рекомендации по внедрению и эксплуатации</w:t>
      </w:r>
    </w:p>
    <w:p>
      <w:pPr>
        <w:jc w:val="both"/>
        <w:ind w:firstLine="708"/>
        <w:spacing w:line="360" w:lineRule="auto"/>
      </w:pPr>
      <w:r>
        <w:rPr>
          <w:rFonts w:ascii="Times New Roman" w:hAnsi="Times New Roman"/>
          <w:sz w:val="28"/>
        </w:rPr>
        <w:t xml:space="preserve">Для успешного внедрения модернизированной системы РЗА рекомендуется поэтапный подход с предварительным тестированием на цифровой модели энергообъекта и последующей опытной эксплуатацией на пилотном участке сети. Необходимо обеспечить комплексное обучение эксплуатационного персонала работе с микропроцессорными терминалами защиты, включая практические навыки настройки уставок, анализа осциллограмм аварийных событий и диагностики неисправностей.</w:t>
      </w:r>
    </w:p>
    <w:p>
      <w:pPr>
        <w:jc w:val="both"/>
        <w:ind w:firstLine="708"/>
        <w:spacing w:line="360" w:lineRule="auto"/>
      </w:pPr>
      <w:r>
        <w:rPr>
          <w:rFonts w:ascii="Times New Roman" w:hAnsi="Times New Roman"/>
          <w:sz w:val="28"/>
        </w:rPr>
        <w:t xml:space="preserve">При вводе системы в эксплуатацию следует провести полный комплекс пусконаладочных работ, включающий проверку правильности подключения измерительных трансформаторов, тестирование логики работы защит в различных режимах и верификацию каналов связи с диспетчерским центром. Рекомендуется организовать непрерывный мониторинг параметров сети в первые месяцы эксплуатации для выявления возможных отклонений и корректировки уставок по результатам анализа реальных режимов работы.</w:t>
      </w:r>
    </w:p>
    <w:p>
      <w:pPr>
        <w:jc w:val="both"/>
        <w:ind w:firstLine="708"/>
        <w:spacing w:line="360" w:lineRule="auto"/>
      </w:pPr>
      <w:r>
        <w:rPr>
          <w:rFonts w:ascii="Times New Roman" w:hAnsi="Times New Roman"/>
          <w:sz w:val="28"/>
        </w:rPr>
        <w:t xml:space="preserve">Для обеспечения долгосрочной эффективности системы необходимо разработать регламенты периодического технического обслуживания, включающие проверку работоспособности защит, калибровку измерительных цепей и обновление программного обеспечения терминалов. Следует внедрить систему управления конфигурацией с контролем версий настроек и обеспечением прослеживаемости всех изменений параметров защит, что критически важно для соблюдения требований кибербезопасности и аудита систем управления технологическими процессами</w:t>
      </w:r>
      <w:hyperlink w:anchor="_Source_30">
        <w:r>
          <w:rPr>
            <w:rFonts w:ascii="Times New Roman" w:hAnsi="Times New Roman"/>
            <w:sz w:val="28"/>
            <w:rStyle w:val="Hyperlink"/>
          </w:rPr>
          <w:t>[30]</w:t>
        </w:r>
      </w:hyperlink>
      <w:r>
        <w:rPr>
          <w:rFonts w:ascii="Times New Roman" w:hAnsi="Times New Roman"/>
          <w:sz w:val="28"/>
        </w:rPr>
        <w:t xml:space="preserve">.</w:t>
      </w:r>
    </w:p>
    <w:p>
      <w:pPr>
        <w:jc w:val="both"/>
        <w:ind w:firstLine="708"/>
        <w:spacing w:line="360" w:lineRule="auto"/>
      </w:pPr>
      <w:r>
        <w:rPr>
          <w:rFonts w:ascii="Times New Roman" w:hAnsi="Times New Roman"/>
          <w:sz w:val="28"/>
        </w:rPr>
        <w:t xml:space="preserve">Рекомендуется интегрировать систему РЗА в общую архитектуру информационной безопасности предприятия с применением принципов нулевого доверия и многоуровневой аутентификации доступа к критическим функциям управления. Перспективным направлением развития является внедрение элементов искусственного интеллекта для автоматического распознавания нестандартных аварийных ситуаций и формирования рекомендаций оперативному персоналу по оптимальным действиям в условиях неопределённости</w:t>
      </w:r>
      <w:hyperlink w:anchor="_Source_30">
        <w:r>
          <w:rPr>
            <w:rFonts w:ascii="Times New Roman" w:hAnsi="Times New Roman"/>
            <w:sz w:val="28"/>
            <w:rStyle w:val="Hyperlink"/>
          </w:rPr>
          <w:t>[30]</w:t>
        </w:r>
      </w:hyperlink>
      <w:r>
        <w:rPr>
          <w:rFonts w:ascii="Times New Roman" w:hAnsi="Times New Roman"/>
          <w:sz w:val="28"/>
        </w:rPr>
        <w:t xml:space="preserve">.</w:t>
      </w:r>
    </w:p>
    <w:p>
      <w:r>
        <w:t/>
      </w:r>
    </w:p>
    <w:p>
      <w:pPr>
        <w:pStyle w:val="Heading1"/>
        <w:jc w:val="center"/>
        <w:spacing w:before="240" w:after="240"/>
      </w:pPr>
      <w:r>
        <w:rPr>
          <w:rFonts w:ascii="Times New Roman" w:hAnsi="Times New Roman"/>
          <w:b/>
          <w:sz w:val="28"/>
        </w:rPr>
        <w:t xml:space="preserve">СПИСОК ИСПОЛЬЗОВАННЫХ ИСТОЧНИКОВ</w:t>
      </w:r>
    </w:p>
    <w:p>
      <w:pPr>
        <w:jc w:val="both"/>
        <w:spacing w:line="360" w:lineRule="auto"/>
      </w:pPr>
      <w:bookmarkStart w:name="_Source_1" w:id="68460"/>
      <w:r>
        <w:rPr>
          <w:rFonts w:ascii="Times New Roman" w:hAnsi="Times New Roman"/>
          <w:sz w:val="28"/>
        </w:rPr>
        <w:t xml:space="preserve">1. Control Relay Circuit of Dynamic Load Balancer on Medium Voltage Distribution Line / G. Eric, A. Ishaku Lucky, J. Hodges [и др.]. – 2025.</w:t>
      </w:r>
      <w:bookmarkEnd w:id="68460"/>
    </w:p>
    <w:p>
      <w:pPr>
        <w:jc w:val="both"/>
        <w:spacing w:line="360" w:lineRule="auto"/>
      </w:pPr>
      <w:bookmarkStart w:name="_Source_2" w:id="652917"/>
      <w:r>
        <w:rPr>
          <w:rFonts w:ascii="Times New Roman" w:hAnsi="Times New Roman"/>
          <w:sz w:val="28"/>
        </w:rPr>
        <w:t xml:space="preserve">2. Calculation of electromagnetic field and electrodynamic forces in parallel conductive busbars of rectangular section of various configurations / Y. Z. V., V. Russova Natalia, P. Ivanova Svetlana, D. Turbina Anastasia. – 2025.</w:t>
      </w:r>
      <w:bookmarkEnd w:id="652917"/>
    </w:p>
    <w:p>
      <w:pPr>
        <w:jc w:val="both"/>
        <w:spacing w:line="360" w:lineRule="auto"/>
      </w:pPr>
      <w:bookmarkStart w:name="_Source_3" w:id="864292"/>
      <w:r>
        <w:rPr>
          <w:rFonts w:ascii="Times New Roman" w:hAnsi="Times New Roman"/>
          <w:sz w:val="28"/>
        </w:rPr>
        <w:t xml:space="preserve">3. A., V. K.. Modeling of complex faults in electrical grids connected to traction substations / V. K. A., S. O. I.. – 2026.</w:t>
      </w:r>
      <w:bookmarkEnd w:id="864292"/>
    </w:p>
    <w:p>
      <w:pPr>
        <w:jc w:val="both"/>
        <w:spacing w:line="360" w:lineRule="auto"/>
      </w:pPr>
      <w:bookmarkStart w:name="_Source_4" w:id="798158"/>
      <w:r>
        <w:rPr>
          <w:rFonts w:ascii="Times New Roman" w:hAnsi="Times New Roman"/>
          <w:sz w:val="28"/>
        </w:rPr>
        <w:t xml:space="preserve">4. V., Y. Z.. Numerical modelling of electromagnetic, thermal and mechanical processes of three-phase short circuit of busbars with rectangular aluminium conductors / Y. Z. V., V. Russova Natalia, N. Petrov Viktor. – 2025.</w:t>
      </w:r>
      <w:bookmarkEnd w:id="798158"/>
    </w:p>
    <w:p>
      <w:pPr>
        <w:jc w:val="both"/>
        <w:spacing w:line="360" w:lineRule="auto"/>
      </w:pPr>
      <w:bookmarkStart w:name="_Source_5" w:id="137799"/>
      <w:r>
        <w:rPr>
          <w:rFonts w:ascii="Times New Roman" w:hAnsi="Times New Roman"/>
          <w:sz w:val="28"/>
        </w:rPr>
        <w:t xml:space="preserve">5. Ірина, П.. Розрахунок струмів коротких замикань на приєднаннях знижувальної підстанції 110/35/10 кВ / П. Ірина, В. Ірина. – 2025.</w:t>
      </w:r>
      <w:bookmarkEnd w:id="137799"/>
    </w:p>
    <w:p>
      <w:pPr>
        <w:jc w:val="both"/>
        <w:spacing w:line="360" w:lineRule="auto"/>
      </w:pPr>
      <w:bookmarkStart w:name="_Source_6" w:id="6154"/>
      <w:r>
        <w:rPr>
          <w:rFonts w:ascii="Times New Roman" w:hAnsi="Times New Roman"/>
          <w:sz w:val="28"/>
        </w:rPr>
        <w:t xml:space="preserve">6. Alailton J. Alves Junior. Design and Performance Assessment of a Virtualized IED for Digital Substations / J. Alves Junior Alailton, V. Coury Denis, A. S. Fernandes Ricardo. – 2025.</w:t>
      </w:r>
      <w:bookmarkEnd w:id="6154"/>
    </w:p>
    <w:p>
      <w:pPr>
        <w:jc w:val="both"/>
        <w:spacing w:line="360" w:lineRule="auto"/>
      </w:pPr>
      <w:bookmarkStart w:name="_Source_7" w:id="815004"/>
      <w:r>
        <w:rPr>
          <w:rFonts w:ascii="Times New Roman" w:hAnsi="Times New Roman"/>
          <w:sz w:val="28"/>
        </w:rPr>
        <w:t xml:space="preserve">7. Husam S. Samkari. Enhancing Substation Protection Reliability Through Economical Redundancy Schemes / S. Samkari Husam. – 2025.</w:t>
      </w:r>
      <w:bookmarkEnd w:id="815004"/>
    </w:p>
    <w:p>
      <w:pPr>
        <w:jc w:val="both"/>
        <w:spacing w:line="360" w:lineRule="auto"/>
      </w:pPr>
      <w:bookmarkStart w:name="_Source_8" w:id="329392"/>
      <w:r>
        <w:rPr>
          <w:rFonts w:ascii="Times New Roman" w:hAnsi="Times New Roman"/>
          <w:sz w:val="28"/>
        </w:rPr>
        <w:t xml:space="preserve">8. Aleksej, Ž.. Short-Circuit Calculation and Overcurrent Relay Protection in Microgrids: A Review / Ž. Aleksej, S. Lukа, A. Chad. – 2025.</w:t>
      </w:r>
      <w:bookmarkEnd w:id="329392"/>
    </w:p>
    <w:p>
      <w:pPr>
        <w:jc w:val="both"/>
        <w:spacing w:line="360" w:lineRule="auto"/>
      </w:pPr>
      <w:bookmarkStart w:name="_Source_9" w:id="497618"/>
      <w:r>
        <w:rPr>
          <w:rFonts w:ascii="Times New Roman" w:hAnsi="Times New Roman"/>
          <w:sz w:val="28"/>
        </w:rPr>
        <w:t xml:space="preserve">9. Vladyslav, T.. Way to implementation in relay protection of the algorithm for searching for pre-fault operating conditions by using a neural network with backpropagation spot training / T. Vladyslav, D. Dmytro. – 2025.</w:t>
      </w:r>
      <w:bookmarkEnd w:id="497618"/>
    </w:p>
    <w:p>
      <w:pPr>
        <w:jc w:val="both"/>
        <w:spacing w:line="360" w:lineRule="auto"/>
      </w:pPr>
      <w:bookmarkStart w:name="_Source_10" w:id="105748"/>
      <w:r>
        <w:rPr>
          <w:rFonts w:ascii="Times New Roman" w:hAnsi="Times New Roman"/>
          <w:sz w:val="28"/>
        </w:rPr>
        <w:t xml:space="preserve">10. R., A. M.. Adaptive differential current relay based on form/ripple factors for busbar current signals / A. M. R.. – 2025.</w:t>
      </w:r>
      <w:bookmarkEnd w:id="105748"/>
    </w:p>
    <w:p>
      <w:pPr>
        <w:jc w:val="both"/>
        <w:spacing w:line="360" w:lineRule="auto"/>
      </w:pPr>
      <w:bookmarkStart w:name="_Source_11" w:id="283467"/>
      <w:r>
        <w:rPr>
          <w:rFonts w:ascii="Times New Roman" w:hAnsi="Times New Roman"/>
          <w:sz w:val="28"/>
        </w:rPr>
        <w:t xml:space="preserve">11. DFT study of benzothiadiazole based small molecules for high efficiency organic photovoltaics / G. Abdul, Y. Afifa, Z. Q. Muhammad [и др.]. – 2026.</w:t>
      </w:r>
      <w:bookmarkEnd w:id="283467"/>
    </w:p>
    <w:p>
      <w:pPr>
        <w:jc w:val="both"/>
        <w:spacing w:line="360" w:lineRule="auto"/>
      </w:pPr>
      <w:bookmarkStart w:name="_Source_12" w:id="951103"/>
      <w:r>
        <w:rPr>
          <w:rFonts w:ascii="Times New Roman" w:hAnsi="Times New Roman"/>
          <w:sz w:val="28"/>
        </w:rPr>
        <w:t xml:space="preserve">12. Amer, A. A. A. D. A.. Simulation Model and Practical Testing of Operating Characteristic of Differential Protection for Optimization of Fault Discrimination of Power Transformer / A. A. A. D. A. Amer. – 2025.</w:t>
      </w:r>
      <w:bookmarkEnd w:id="951103"/>
    </w:p>
    <w:p>
      <w:pPr>
        <w:jc w:val="both"/>
        <w:spacing w:line="360" w:lineRule="auto"/>
      </w:pPr>
      <w:bookmarkStart w:name="_Source_13" w:id="627854"/>
      <w:r>
        <w:rPr>
          <w:rFonts w:ascii="Times New Roman" w:hAnsi="Times New Roman"/>
          <w:sz w:val="28"/>
        </w:rPr>
        <w:t xml:space="preserve">13. Chang, M.. Simulation-Guided Approximate Logic Synthesis Under the Maximum Error Constraint / M. Chang, Q. Weikang, D. M. Giovanni. – 2026.</w:t>
      </w:r>
      <w:bookmarkEnd w:id="627854"/>
    </w:p>
    <w:p>
      <w:pPr>
        <w:jc w:val="both"/>
        <w:spacing w:line="360" w:lineRule="auto"/>
      </w:pPr>
      <w:bookmarkStart w:name="_Source_14" w:id="826618"/>
      <w:r>
        <w:rPr>
          <w:rFonts w:ascii="Times New Roman" w:hAnsi="Times New Roman"/>
          <w:sz w:val="28"/>
        </w:rPr>
        <w:t xml:space="preserve">14. Saman, E.. A fault classification scheme based on protective agents for microgrid with parameters impact analysis / E. Saman, K. K. Hossein, N. Abolfazl. – 2025.</w:t>
      </w:r>
      <w:bookmarkEnd w:id="826618"/>
    </w:p>
    <w:p>
      <w:pPr>
        <w:jc w:val="both"/>
        <w:spacing w:line="360" w:lineRule="auto"/>
      </w:pPr>
      <w:bookmarkStart w:name="_Source_15" w:id="74937"/>
      <w:r>
        <w:rPr>
          <w:rFonts w:ascii="Times New Roman" w:hAnsi="Times New Roman"/>
          <w:sz w:val="28"/>
        </w:rPr>
        <w:t xml:space="preserve">15. A k-kNN miscalibrated current transformer identification method based on line topology for distribution networks / X. Huiqin, Z. Xiaoyang, L. Tong [и др.]. – 2025.</w:t>
      </w:r>
      <w:bookmarkEnd w:id="74937"/>
    </w:p>
    <w:p>
      <w:pPr>
        <w:jc w:val="both"/>
        <w:spacing w:line="360" w:lineRule="auto"/>
      </w:pPr>
      <w:bookmarkStart w:name="_Source_16" w:id="212812"/>
      <w:r>
        <w:rPr>
          <w:rFonts w:ascii="Times New Roman" w:hAnsi="Times New Roman"/>
          <w:sz w:val="28"/>
        </w:rPr>
        <w:t xml:space="preserve">16. A Review of Software and Hardware Tools for Microgrid Protection Testbeds / A. Majid, S. Saeed, K. Innocent, G. Himanshu. – 2025.</w:t>
      </w:r>
      <w:bookmarkEnd w:id="212812"/>
    </w:p>
    <w:p>
      <w:pPr>
        <w:jc w:val="both"/>
        <w:spacing w:line="360" w:lineRule="auto"/>
      </w:pPr>
      <w:bookmarkStart w:name="_Source_17" w:id="428363"/>
      <w:r>
        <w:rPr>
          <w:rFonts w:ascii="Times New Roman" w:hAnsi="Times New Roman"/>
          <w:sz w:val="28"/>
        </w:rPr>
        <w:t xml:space="preserve">17. Analytical Phasor-Based Fault Location Enhancement for Wind Farm Collector Networks / J. Alves Junior Alailton, B. Daniel, A. S. Fernandes Ricardo, V. Coury Denis. – 2025.</w:t>
      </w:r>
      <w:bookmarkEnd w:id="428363"/>
    </w:p>
    <w:p>
      <w:pPr>
        <w:jc w:val="both"/>
        <w:spacing w:line="360" w:lineRule="auto"/>
      </w:pPr>
      <w:bookmarkStart w:name="_Source_18" w:id="561331"/>
      <w:r>
        <w:rPr>
          <w:rFonts w:ascii="Times New Roman" w:hAnsi="Times New Roman"/>
          <w:sz w:val="28"/>
        </w:rPr>
        <w:t xml:space="preserve">18. An Improved LightGBM-Based Method for Series Arc Fault Detection / S. Runan, Z. Penghe, X. Yang [и др.]. – 2025.</w:t>
      </w:r>
      <w:bookmarkEnd w:id="561331"/>
    </w:p>
    <w:p>
      <w:pPr>
        <w:jc w:val="both"/>
        <w:spacing w:line="360" w:lineRule="auto"/>
      </w:pPr>
      <w:bookmarkStart w:name="_Source_19" w:id="173147"/>
      <w:r>
        <w:rPr>
          <w:rFonts w:ascii="Times New Roman" w:hAnsi="Times New Roman"/>
          <w:sz w:val="28"/>
        </w:rPr>
        <w:t xml:space="preserve">19. Rahul, M.. Arc Flash Incident Assessment and Mitigation: A Case Study of Fatal Accident due to 6.6kV Bus Coupler Switch Gear Flashover at Central Waste Management System (CWMS) in PFBR / M. Rahul. – 2025.</w:t>
      </w:r>
      <w:bookmarkEnd w:id="173147"/>
    </w:p>
    <w:p>
      <w:pPr>
        <w:jc w:val="both"/>
        <w:spacing w:line="360" w:lineRule="auto"/>
      </w:pPr>
      <w:bookmarkStart w:name="_Source_20" w:id="346031"/>
      <w:r>
        <w:rPr>
          <w:rFonts w:ascii="Times New Roman" w:hAnsi="Times New Roman"/>
          <w:sz w:val="28"/>
        </w:rPr>
        <w:t xml:space="preserve">20. Muhamad, M. P.. Power Quality Improvement for Voltage Sag Issue in Industrial Customers / M. P. Muhamad, S. Budi. – 2025.</w:t>
      </w:r>
      <w:bookmarkEnd w:id="346031"/>
    </w:p>
    <w:p>
      <w:pPr>
        <w:jc w:val="both"/>
        <w:spacing w:line="360" w:lineRule="auto"/>
      </w:pPr>
      <w:bookmarkStart w:name="_Source_21" w:id="480623"/>
      <w:r>
        <w:rPr>
          <w:rFonts w:ascii="Times New Roman" w:hAnsi="Times New Roman"/>
          <w:sz w:val="28"/>
        </w:rPr>
        <w:t xml:space="preserve">21. Nicholas, P.. Pulse Compression Probing for Active Islanding Detection / P. Nicholas, E. W. N., S. Morteza. – 2025.</w:t>
      </w:r>
      <w:bookmarkEnd w:id="480623"/>
    </w:p>
    <w:p>
      <w:pPr>
        <w:jc w:val="both"/>
        <w:spacing w:line="360" w:lineRule="auto"/>
      </w:pPr>
      <w:bookmarkStart w:name="_Source_22" w:id="912166"/>
      <w:r>
        <w:rPr>
          <w:rFonts w:ascii="Times New Roman" w:hAnsi="Times New Roman"/>
          <w:sz w:val="28"/>
        </w:rPr>
        <w:t xml:space="preserve">22. J.B., O.. A Small Satellite Bus Designed for Low Earth Orbiting Experiments / O. J.B.. – 2025.</w:t>
      </w:r>
      <w:bookmarkEnd w:id="912166"/>
    </w:p>
    <w:p>
      <w:pPr>
        <w:jc w:val="both"/>
        <w:spacing w:line="360" w:lineRule="auto"/>
      </w:pPr>
      <w:bookmarkStart w:name="_Source_23" w:id="539351"/>
      <w:r>
        <w:rPr>
          <w:rFonts w:ascii="Times New Roman" w:hAnsi="Times New Roman"/>
          <w:sz w:val="28"/>
        </w:rPr>
        <w:t xml:space="preserve">23. Enhancing IoT-LLN Security with IbiboRPLChain Solution: A Blockchain-Based Authentication Method / T. I. Joshua, E. Balota Josiah, A. Tariq, O. A. Olúgbénga. – 2025.</w:t>
      </w:r>
      <w:bookmarkEnd w:id="539351"/>
    </w:p>
    <w:p>
      <w:pPr>
        <w:jc w:val="both"/>
        <w:spacing w:line="360" w:lineRule="auto"/>
      </w:pPr>
      <w:bookmarkStart w:name="_Source_24" w:id="682367"/>
      <w:r>
        <w:rPr>
          <w:rFonts w:ascii="Times New Roman" w:hAnsi="Times New Roman"/>
          <w:sz w:val="28"/>
        </w:rPr>
        <w:t xml:space="preserve">24. Yifan, X.. Neural Circuit Dependence of Acute and Subacute Nociception in C. Elegans / X. Yifan. – 2025.</w:t>
      </w:r>
      <w:bookmarkEnd w:id="682367"/>
    </w:p>
    <w:p>
      <w:pPr>
        <w:jc w:val="both"/>
        <w:spacing w:line="360" w:lineRule="auto"/>
      </w:pPr>
      <w:bookmarkStart w:name="_Source_25" w:id="236960"/>
      <w:r>
        <w:rPr>
          <w:rFonts w:ascii="Times New Roman" w:hAnsi="Times New Roman"/>
          <w:sz w:val="28"/>
        </w:rPr>
        <w:t xml:space="preserve">25. Using Artificial Intelligence to Classify IEDs’ Control Scope from SCL Files / C. Alfredo, C. H. K. Ana, V. M. S. Joao [и др.]. – 2026.</w:t>
      </w:r>
      <w:bookmarkEnd w:id="236960"/>
    </w:p>
    <w:p>
      <w:pPr>
        <w:jc w:val="both"/>
        <w:spacing w:line="360" w:lineRule="auto"/>
      </w:pPr>
      <w:bookmarkStart w:name="_Source_26" w:id="906402"/>
      <w:r>
        <w:rPr>
          <w:rFonts w:ascii="Times New Roman" w:hAnsi="Times New Roman"/>
          <w:sz w:val="28"/>
        </w:rPr>
        <w:t xml:space="preserve">26. Comparison of Active and Passive Grid Coupling in Distribution Grids Using Particle Swarm Optimization / G. Frederik, H. Sebastian, S. Michael, L. Thomas. – 2025.</w:t>
      </w:r>
      <w:bookmarkEnd w:id="906402"/>
    </w:p>
    <w:p>
      <w:pPr>
        <w:jc w:val="both"/>
        <w:spacing w:line="360" w:lineRule="auto"/>
      </w:pPr>
      <w:bookmarkStart w:name="_Source_27" w:id="402331"/>
      <w:r>
        <w:rPr>
          <w:rFonts w:ascii="Times New Roman" w:hAnsi="Times New Roman"/>
          <w:sz w:val="28"/>
        </w:rPr>
        <w:t xml:space="preserve">27. Xiao, L.. Key Performance Indicators for Evaluating Electric Buses in Public Transport Operations / L. Xiao, H. Balázs, W. Ágoston. – 2025.</w:t>
      </w:r>
      <w:bookmarkEnd w:id="402331"/>
    </w:p>
    <w:p>
      <w:pPr>
        <w:jc w:val="both"/>
        <w:spacing w:line="360" w:lineRule="auto"/>
      </w:pPr>
      <w:bookmarkStart w:name="_Source_28" w:id="720687"/>
      <w:r>
        <w:rPr>
          <w:rFonts w:ascii="Times New Roman" w:hAnsi="Times New Roman"/>
          <w:sz w:val="28"/>
        </w:rPr>
        <w:t xml:space="preserve">28. Bo, C.. Optimal Dispatch of Microgrids in Islanded and Grid-Connected Modes: A Mixed-Integer Linear Programming Approach for Cost Minimization and Renewable Energy Integration / C. Bo. – 2025.</w:t>
      </w:r>
      <w:bookmarkEnd w:id="720687"/>
    </w:p>
    <w:p>
      <w:pPr>
        <w:jc w:val="both"/>
        <w:spacing w:line="360" w:lineRule="auto"/>
      </w:pPr>
      <w:bookmarkStart w:name="_Source_29" w:id="104968"/>
      <w:r>
        <w:rPr>
          <w:rFonts w:ascii="Times New Roman" w:hAnsi="Times New Roman"/>
          <w:sz w:val="28"/>
        </w:rPr>
        <w:t xml:space="preserve">29. Wideband Dynamic Monitoring and Control System for Power Systems with High Penetration of Renewable Energy and Power Electronics / M. Ningjia, X. Xiaorong, D. Wenkai, L. Huawei. – 2025.</w:t>
      </w:r>
      <w:bookmarkEnd w:id="104968"/>
    </w:p>
    <w:p>
      <w:pPr>
        <w:jc w:val="both"/>
        <w:spacing w:line="360" w:lineRule="auto"/>
      </w:pPr>
      <w:bookmarkStart w:name="_Source_30" w:id="88612"/>
      <w:r>
        <w:rPr>
          <w:rFonts w:ascii="Times New Roman" w:hAnsi="Times New Roman"/>
          <w:sz w:val="28"/>
        </w:rPr>
        <w:t xml:space="preserve">30. Creation of a Synthetic Rural Alaskan Microgrid Model / F. Alexis, W. Glen, E. Audrey [и др.]. – 2025.</w:t>
      </w:r>
      <w:bookmarkEnd w:id="88612"/>
    </w:p>
    <w:p>
      <w:pPr>
        <w:jc w:val="both"/>
        <w:spacing w:line="360" w:lineRule="auto"/>
      </w:pPr>
      <w:bookmarkStart w:name="_Source_31" w:id="463014"/>
      <w:r>
        <w:rPr>
          <w:rFonts w:ascii="Times New Roman" w:hAnsi="Times New Roman"/>
          <w:sz w:val="28"/>
        </w:rPr>
        <w:t xml:space="preserve">31. Zhiye, W.. Federated Learning for Power Cyber-Physical Systems: Toward Secure, Resilient, and Explainable Intelligence / W. Zhiye. – 2025.</w:t>
      </w:r>
      <w:bookmarkEnd w:id="463014"/>
    </w:p>
    <w:p>
      <w:pPr>
        <w:jc w:val="both"/>
        <w:spacing w:line="360" w:lineRule="auto"/>
      </w:pPr>
      <w:bookmarkStart w:name="_Source_32" w:id="569804"/>
      <w:r>
        <w:rPr>
          <w:rFonts w:ascii="Times New Roman" w:hAnsi="Times New Roman"/>
          <w:sz w:val="28"/>
        </w:rPr>
        <w:t xml:space="preserve">32. Study of Winding Short Circuit Characteristics Under Different Insulation Material Temperatures in Transformers / Z. Xiu, M. Yukun, W. Xiaokang [и др.]. – 2025.</w:t>
      </w:r>
      <w:bookmarkEnd w:id="569804"/>
    </w:p>
    <w:p>
      <w:pPr>
        <w:jc w:val="both"/>
        <w:spacing w:line="360" w:lineRule="auto"/>
      </w:pPr>
      <w:bookmarkStart w:name="_Source_33" w:id="500061"/>
      <w:r>
        <w:rPr>
          <w:rFonts w:ascii="Times New Roman" w:hAnsi="Times New Roman"/>
          <w:sz w:val="28"/>
        </w:rPr>
        <w:t xml:space="preserve">33. Sven, G.. VIKING and MAILSTAR: Two Swedish Small Satellite Projects / G. Sven. – 2025.</w:t>
      </w:r>
      <w:bookmarkEnd w:id="500061"/>
    </w:p>
    <w:p>
      <w:pPr>
        <w:jc w:val="both"/>
        <w:spacing w:line="360" w:lineRule="auto"/>
      </w:pPr>
      <w:bookmarkStart w:name="_Source_34" w:id="149682"/>
      <w:r>
        <w:rPr>
          <w:rFonts w:ascii="Times New Roman" w:hAnsi="Times New Roman"/>
          <w:sz w:val="28"/>
        </w:rPr>
        <w:t xml:space="preserve">34. Saroj, R. P.. Impact of Auto-Rickshaw Service on the Livelihood of Chauffeurs' Household, Baglung, Nepal / R. P. Saroj, S. Sudarshan. – 2025.</w:t>
      </w:r>
      <w:bookmarkEnd w:id="149682"/>
    </w:p>
    <w:p>
      <w:pPr>
        <w:jc w:val="both"/>
        <w:spacing w:line="360" w:lineRule="auto"/>
      </w:pPr>
      <w:bookmarkStart w:name="_Source_35" w:id="140168"/>
      <w:r>
        <w:rPr>
          <w:rFonts w:ascii="Times New Roman" w:hAnsi="Times New Roman"/>
          <w:sz w:val="28"/>
        </w:rPr>
        <w:t xml:space="preserve">35. Preparation and Properties of Ellagic Acid-Modified Single-Walled Carbon Nanotube/Aramid Nanofiber Composite Films / H. Xuguo, W. Yuhan, C. Weiwei [и др.]. – 2026.</w:t>
      </w:r>
      <w:bookmarkEnd w:id="140168"/>
    </w:p>
    <w:p>
      <w:pPr>
        <w:jc w:val="both"/>
        <w:spacing w:line="360" w:lineRule="auto"/>
      </w:pPr>
      <w:bookmarkStart w:name="_Source_36" w:id="759682"/>
      <w:r>
        <w:rPr>
          <w:rFonts w:ascii="Times New Roman" w:hAnsi="Times New Roman"/>
          <w:sz w:val="28"/>
        </w:rPr>
        <w:t xml:space="preserve">36. Vitalii, K.. OPTIMIZING LIVE BEE TRANSPORTATION LOGISTICS: A PRACTICAL METHODOLOGY FOR BROKERS AND CARRIERS IN THE U.S. / K. Vitalii. – 2025.</w:t>
      </w:r>
      <w:bookmarkEnd w:id="759682"/>
    </w:p>
    <w:p>
      <w:pPr>
        <w:jc w:val="both"/>
        <w:spacing w:line="360" w:lineRule="auto"/>
      </w:pPr>
      <w:bookmarkStart w:name="_Source_37" w:id="844407"/>
      <w:r>
        <w:rPr>
          <w:rFonts w:ascii="Times New Roman" w:hAnsi="Times New Roman"/>
          <w:sz w:val="28"/>
        </w:rPr>
        <w:t xml:space="preserve">37. Report on Alternative Devices to Pyrotechnics on Spacecraft / H. L. M., C. Hardy Robin, H. Kist Edward [и др.]. – 2025.</w:t>
      </w:r>
      <w:bookmarkEnd w:id="844407"/>
    </w:p>
    <w:p>
      <w:pPr>
        <w:jc w:val="both"/>
        <w:spacing w:line="360" w:lineRule="auto"/>
      </w:pPr>
      <w:bookmarkStart w:name="_Source_38" w:id="258332"/>
      <w:r>
        <w:rPr>
          <w:rFonts w:ascii="Times New Roman" w:hAnsi="Times New Roman"/>
          <w:sz w:val="28"/>
        </w:rPr>
        <w:t xml:space="preserve">38. Yan, G.. A symbolic–visual advertising framework for engaging China’s generation Z in sustainable consumption / G. Yan, C. M. Rosalam, P. Ernesto. – 2025.</w:t>
      </w:r>
      <w:bookmarkEnd w:id="258332"/>
    </w:p>
    <w:p>
      <w:pPr>
        <w:jc w:val="both"/>
        <w:spacing w:line="360" w:lineRule="auto"/>
      </w:pPr>
      <w:bookmarkStart w:name="_Source_39" w:id="534964"/>
      <w:r>
        <w:rPr>
          <w:rFonts w:ascii="Times New Roman" w:hAnsi="Times New Roman"/>
          <w:sz w:val="28"/>
        </w:rPr>
        <w:t xml:space="preserve">39. Lin, Y.. Testing system based on labview for startup performance of micro gas turbine / Y. Lin. – 2025.</w:t>
      </w:r>
      <w:bookmarkEnd w:id="534964"/>
    </w:p>
    <w:p>
      <w:pPr>
        <w:jc w:val="both"/>
        <w:spacing w:line="360" w:lineRule="auto"/>
      </w:pPr>
      <w:bookmarkStart w:name="_Source_40" w:id="815117"/>
      <w:r>
        <w:rPr>
          <w:rFonts w:ascii="Times New Roman" w:hAnsi="Times New Roman"/>
          <w:sz w:val="28"/>
        </w:rPr>
        <w:t xml:space="preserve">40. Tao, H.. Research on the Design and Application of Power Management Integrated Circuits / H. Tao. – 2025.</w:t>
      </w:r>
      <w:bookmarkEnd w:id="815117"/>
    </w:p>
    <w:p>
      <w:pPr>
        <w:jc w:val="both"/>
        <w:spacing w:line="360" w:lineRule="auto"/>
      </w:pPr>
      <w:bookmarkStart w:name="_Source_41" w:id="533016"/>
      <w:r>
        <w:rPr>
          <w:rFonts w:ascii="Times New Roman" w:hAnsi="Times New Roman"/>
          <w:sz w:val="28"/>
        </w:rPr>
        <w:t xml:space="preserve">41. Süleyman, A.. Control strategy evaluation for reactive power management in grid-connected photovoltaic systems under varying solar conditions / A. Süleyman. – 2025.</w:t>
      </w:r>
      <w:bookmarkEnd w:id="533016"/>
    </w:p>
    <w:p>
      <w:pPr>
        <w:jc w:val="both"/>
        <w:spacing w:line="360" w:lineRule="auto"/>
      </w:pPr>
      <w:bookmarkStart w:name="_Source_42" w:id="965193"/>
      <w:r>
        <w:rPr>
          <w:rFonts w:ascii="Times New Roman" w:hAnsi="Times New Roman"/>
          <w:sz w:val="28"/>
        </w:rPr>
        <w:t xml:space="preserve">42. Nurry, M.. IMPLEMENTASI MODEL PEMBELAJARAN HOLISTIK DEEP LEARNING PADA MATA PELAJARAN PAI KELAS VII SMPN 5 PEKANBARU / M. Nurry, A. Alwizar, D. Eva. – 2025.</w:t>
      </w:r>
      <w:bookmarkEnd w:id="965193"/>
    </w:p>
    <w:p>
      <w:pPr>
        <w:jc w:val="both"/>
        <w:spacing w:line="360" w:lineRule="auto"/>
      </w:pPr>
      <w:bookmarkStart w:name="_Source_43" w:id="961184"/>
      <w:r>
        <w:rPr>
          <w:rFonts w:ascii="Times New Roman" w:hAnsi="Times New Roman"/>
          <w:sz w:val="28"/>
        </w:rPr>
        <w:t xml:space="preserve">43. Daniel, S.. Preliminary Design of the Naval Postgraduate School Petite Amateur Navy Satellite (PANSAT) Electric Power and Communications Subsystems / S. Daniel, N. Mike, P. Steve. – 2025.</w:t>
      </w:r>
      <w:bookmarkEnd w:id="961184"/>
    </w:p>
    <w:p>
      <w:pPr>
        <w:jc w:val="both"/>
        <w:spacing w:line="360" w:lineRule="auto"/>
      </w:pPr>
      <w:bookmarkStart w:name="_Source_44" w:id="171980"/>
      <w:r>
        <w:rPr>
          <w:rFonts w:ascii="Times New Roman" w:hAnsi="Times New Roman"/>
          <w:sz w:val="28"/>
        </w:rPr>
        <w:t xml:space="preserve">44. SoK: Bitcoin Layer Two (L2) / Q. Minfeng, W. Qin, W. Zhipeng [и др.]. – 2025.</w:t>
      </w:r>
      <w:bookmarkEnd w:id="171980"/>
    </w:p>
    <w:p>
      <w:pPr>
        <w:jc w:val="both"/>
        <w:spacing w:line="360" w:lineRule="auto"/>
      </w:pPr>
      <w:bookmarkStart w:name="_Source_45" w:id="279803"/>
      <w:r>
        <w:rPr>
          <w:rFonts w:ascii="Times New Roman" w:hAnsi="Times New Roman"/>
          <w:sz w:val="28"/>
        </w:rPr>
        <w:t xml:space="preserve">45. Влияние концентрации дефектов в перовските и гетеропереходах на фотоэлектрические характеристики солнечного элемента / А. А.З., К. А.М., К. Е.Н. [и др.]. – 2025.</w:t>
      </w:r>
      <w:bookmarkEnd w:id="279803"/>
    </w:p>
    <w:p>
      <w:pPr>
        <w:jc w:val="both"/>
        <w:spacing w:line="360" w:lineRule="auto"/>
      </w:pPr>
      <w:bookmarkStart w:name="_Source_46" w:id="262509"/>
      <w:r>
        <w:rPr>
          <w:rFonts w:ascii="Times New Roman" w:hAnsi="Times New Roman"/>
          <w:sz w:val="28"/>
        </w:rPr>
        <w:t xml:space="preserve">46. Arman, A.. Selective attention? Human rights organizations and Anti-state naming and shaming, 1995–2018 / A. Arman. – 2025.</w:t>
      </w:r>
      <w:bookmarkEnd w:id="262509"/>
    </w:p>
    <w:p>
      <w:pPr>
        <w:jc w:val="both"/>
        <w:spacing w:line="360" w:lineRule="auto"/>
      </w:pPr>
      <w:bookmarkStart w:name="_Source_47" w:id="894692"/>
      <w:r>
        <w:rPr>
          <w:rFonts w:ascii="Times New Roman" w:hAnsi="Times New Roman"/>
          <w:sz w:val="28"/>
        </w:rPr>
        <w:t xml:space="preserve">47. Ayesha, B.. Autonomous and Adaptive Cyber Incident Detection and Response in Industrial Cyber-Physical Systems Using Hierarchical Reinforcement Learning / B. Ayesha, H. Talal, Z. Mohammad. – 2025.</w:t>
      </w:r>
      <w:bookmarkEnd w:id="894692"/>
    </w:p>
    <w:p>
      <w:pPr>
        <w:jc w:val="both"/>
        <w:spacing w:line="360" w:lineRule="auto"/>
      </w:pPr>
      <w:bookmarkStart w:name="_Source_48" w:id="230808"/>
      <w:r>
        <w:rPr>
          <w:rFonts w:ascii="Times New Roman" w:hAnsi="Times New Roman"/>
          <w:sz w:val="28"/>
        </w:rPr>
        <w:t xml:space="preserve">48. Sangwon, S.. Basic Investigation on the Electrical Structure Characteristics of 72V Battery Charging Connector / S. Sangwon, K. Dongjin, J. Kyung-Hoon. – 2025.</w:t>
      </w:r>
      <w:bookmarkEnd w:id="230808"/>
    </w:p>
    <w:p>
      <w:pPr>
        <w:jc w:val="both"/>
        <w:spacing w:line="360" w:lineRule="auto"/>
      </w:pPr>
      <w:bookmarkStart w:name="_Source_49" w:id="251089"/>
      <w:r>
        <w:rPr>
          <w:rFonts w:ascii="Times New Roman" w:hAnsi="Times New Roman"/>
          <w:sz w:val="28"/>
        </w:rPr>
        <w:t xml:space="preserve">49. Channel Microenvironment‐Controlled Pillared &lt;scp&gt;MOF&lt;/scp&gt; as Efficient Triboelectric Nanogenerator Material for Self‐Powered Degradation of Organic Pollutants / L. Long, S. Zhichao, L. Weibing [и др.]. – 2026.</w:t>
      </w:r>
      <w:bookmarkEnd w:id="251089"/>
    </w:p>
    <w:p>
      <w:pPr>
        <w:jc w:val="both"/>
        <w:spacing w:line="360" w:lineRule="auto"/>
      </w:pPr>
      <w:bookmarkStart w:name="_Source_50" w:id="953690"/>
      <w:r>
        <w:rPr>
          <w:rFonts w:ascii="Times New Roman" w:hAnsi="Times New Roman"/>
          <w:sz w:val="28"/>
        </w:rPr>
        <w:t xml:space="preserve">50. Muhammad, D. S. N. A.. Decoding Agul Ku Payung Butut: A linguistic-psychological inquiry through Adler’s Theory of Inferiority / D. S. N. A. Muhammad. – 2025.</w:t>
      </w:r>
      <w:bookmarkEnd w:id="953690"/>
    </w:p>
    <w:p>
      <w:pPr>
        <w:jc w:val="both"/>
        <w:spacing w:line="360" w:lineRule="auto"/>
      </w:pPr>
      <w:bookmarkStart w:name="_Source_51" w:id="700107"/>
      <w:r>
        <w:rPr>
          <w:rFonts w:ascii="Times New Roman" w:hAnsi="Times New Roman"/>
          <w:sz w:val="28"/>
        </w:rPr>
        <w:t xml:space="preserve">51. Automated calculation of time to saturation of electromagnetic current transformers during short circuits / Y. A.A., P. A.V., V. E.A., G. A.V.. – 2025.</w:t>
      </w:r>
      <w:bookmarkEnd w:id="700107"/>
    </w:p>
    <w:p>
      <w:pPr>
        <w:jc w:val="both"/>
        <w:spacing w:line="360" w:lineRule="auto"/>
      </w:pPr>
      <w:bookmarkStart w:name="_Source_52" w:id="737051"/>
      <w:r>
        <w:rPr>
          <w:rFonts w:ascii="Times New Roman" w:hAnsi="Times New Roman"/>
          <w:sz w:val="28"/>
        </w:rPr>
        <w:t xml:space="preserve">52. Roots of Progress: Uncovering Cerebellar Ataxias Using iPSC Models / G. Michela, N. Valentina, M. Santorelli Filippo, D. Devid. – 2025.</w:t>
      </w:r>
      <w:bookmarkEnd w:id="737051"/>
    </w:p>
    <w:p>
      <w:pPr>
        <w:jc w:val="both"/>
        <w:spacing w:line="360" w:lineRule="auto"/>
      </w:pPr>
      <w:bookmarkStart w:name="_Source_53" w:id="617939"/>
      <w:r>
        <w:rPr>
          <w:rFonts w:ascii="Times New Roman" w:hAnsi="Times New Roman"/>
          <w:sz w:val="28"/>
        </w:rPr>
        <w:t xml:space="preserve">53. Fast Auroral Snapshot Mission Unique Electronics Complete Spacecraft Electronics Contained in a Single Enclosure / D. Lamar, G. T., W. Jonathan, C. Michael. – 2025.</w:t>
      </w:r>
      <w:bookmarkEnd w:id="617939"/>
    </w:p>
    <w:p>
      <w:pPr>
        <w:jc w:val="both"/>
        <w:spacing w:line="360" w:lineRule="auto"/>
      </w:pPr>
      <w:bookmarkStart w:name="_Source_54" w:id="269514"/>
      <w:r>
        <w:rPr>
          <w:rFonts w:ascii="Times New Roman" w:hAnsi="Times New Roman"/>
          <w:sz w:val="28"/>
        </w:rPr>
        <w:t xml:space="preserve">54. Pricing Incentive Mechanisms for Medical Data Sharing in the Internet of Things: A Three-Party Stackelberg Game Approach / Z. Dexin, Z. Zhiqiang, Z. Huanjie [и др.]. – 2026.</w:t>
      </w:r>
      <w:bookmarkEnd w:id="269514"/>
    </w:p>
    <w:p>
      <w:pPr>
        <w:jc w:val="both"/>
        <w:spacing w:line="360" w:lineRule="auto"/>
      </w:pPr>
      <w:bookmarkStart w:name="_Source_55" w:id="122725"/>
      <w:r>
        <w:rPr>
          <w:rFonts w:ascii="Times New Roman" w:hAnsi="Times New Roman"/>
          <w:sz w:val="28"/>
        </w:rPr>
        <w:t xml:space="preserve">55. Arman, K.. Cobalt-Catalyzed Alkene Hydrohalogenation via Hydrogen Atom Transfer / K. Arman, N. Ming‐Yu. – 2025.</w:t>
      </w:r>
      <w:bookmarkEnd w:id="122725"/>
    </w:p>
    <w:p>
      <w:pPr>
        <w:jc w:val="both"/>
        <w:spacing w:line="360" w:lineRule="auto"/>
      </w:pPr>
      <w:bookmarkStart w:name="_Source_56" w:id="796009"/>
      <w:r>
        <w:rPr>
          <w:rFonts w:ascii="Times New Roman" w:hAnsi="Times New Roman"/>
          <w:sz w:val="28"/>
        </w:rPr>
        <w:t xml:space="preserve">56. Lucia, D. C.. Rural Pathways out of Poverty in Zambia / D. C. Lucia, B. Richard. – 2025.</w:t>
      </w:r>
      <w:bookmarkEnd w:id="796009"/>
    </w:p>
    <w:p>
      <w:pPr>
        <w:jc w:val="both"/>
        <w:spacing w:line="360" w:lineRule="auto"/>
      </w:pPr>
      <w:bookmarkStart w:name="_Source_57" w:id="227102"/>
      <w:r>
        <w:rPr>
          <w:rFonts w:ascii="Times New Roman" w:hAnsi="Times New Roman"/>
          <w:sz w:val="28"/>
        </w:rPr>
        <w:t xml:space="preserve">57. Nguyễn, T. T. T.. Assessment of Load Characteristics in Short-Circuit Studies of Distribution Substations / T. T. T. Nguyễn. – 2025.</w:t>
      </w:r>
      <w:bookmarkEnd w:id="227102"/>
    </w:p>
    <w:p>
      <w:pPr>
        <w:jc w:val="both"/>
        <w:spacing w:line="360" w:lineRule="auto"/>
      </w:pPr>
      <w:bookmarkStart w:name="_Source_58" w:id="901796"/>
      <w:r>
        <w:rPr>
          <w:rFonts w:ascii="Times New Roman" w:hAnsi="Times New Roman"/>
          <w:sz w:val="28"/>
        </w:rPr>
        <w:t xml:space="preserve">58. Cutting‐Edge Advancements in Physical Stimulation for Spiral Ganglion Neuron Protection and Regeneration / B. Yuhan, Z. Bin, C. Hong [и др.]. – 2025.</w:t>
      </w:r>
      <w:bookmarkEnd w:id="901796"/>
    </w:p>
    <w:p>
      <w:pPr>
        <w:jc w:val="both"/>
        <w:spacing w:line="360" w:lineRule="auto"/>
      </w:pPr>
      <w:bookmarkStart w:name="_Source_59" w:id="961665"/>
      <w:r>
        <w:rPr>
          <w:rFonts w:ascii="Times New Roman" w:hAnsi="Times New Roman"/>
          <w:sz w:val="28"/>
        </w:rPr>
        <w:t xml:space="preserve">59. Volodymyr, K.. Modeling of Data Traffic in Space-Air-Ground-Integrated-Network with Cellular-Connected Remotely Piloted Air Systems / K. Volodymyr, G. Andrii, K. Vasyl. – 2025.</w:t>
      </w:r>
      <w:bookmarkEnd w:id="961665"/>
    </w:p>
    <w:p>
      <w:pPr>
        <w:jc w:val="both"/>
        <w:spacing w:line="360" w:lineRule="auto"/>
      </w:pPr>
      <w:bookmarkStart w:name="_Source_60" w:id="175040"/>
      <w:r>
        <w:rPr>
          <w:rFonts w:ascii="Times New Roman" w:hAnsi="Times New Roman"/>
          <w:sz w:val="28"/>
        </w:rPr>
        <w:t xml:space="preserve">60. Ying, L.. Low-Power CT-DS ADC for High-Sensitivity Automotive-Grade Sub-1 GHz Receiver / L. Ying, L. Wenyuan, H. Qingsheng. – 2025.</w:t>
      </w:r>
      <w:bookmarkEnd w:id="175040"/>
    </w:p>
    <w:p>
      <w:r>
        <w:t/>
      </w:r>
    </w:p>
  </w:body>
</w:document>
</file>

<file path=word/footer1.xml><?xml version="1.0" encoding="utf-8"?>
<w:ftr xmlns:w="http://schemas.openxmlformats.org/wordprocessingml/2006/main">
  <w:p>
    <w:pPr>
      <w:jc w:val="center"/>
    </w:pPr>
    <w:r>
      <w:fldSimple w:instr="PAGE"/>
    </w:r>
  </w:p>
</w:ftr>
</file>

<file path=word/settings.xml><?xml version="1.0" encoding="utf-8"?>
<w:settings xmlns:w="http://schemas.openxmlformats.org/wordprocessingml/2006/main">
  <w:compat>
    <w:compatSetting w:name="compatibilityMode" w:uri="http://schemas.microsoft.com/office/word" w:val="15"/>
  </w:compat>
  <w:updateFields w:val="true"/>
</w:settings>
</file>

<file path=word/styles.xml><?xml version="1.0" encoding="utf-8"?>
<w:styles xmlns:w="http://schemas.openxmlformats.org/wordprocessingml/2006/main">
  <w:style w:type="paragraph" w:styleId="Heading1">
    <w:name w:val="Heading 1"/>
    <w:basedOn w:val="Normal"/>
    <w:next w:val="Normal"/>
    <w:pPr>
      <w:outlineLvl w:val="0"/>
    </w:pPr>
  </w:style>
  <w:style w:type="paragraph" w:styleId="Heading2">
    <w:name w:val="Heading 2"/>
    <w:basedOn w:val="Normal"/>
    <w:next w:val="Normal"/>
    <w:pPr>
      <w:outlineLvl w:val="1"/>
    </w:pPr>
  </w:style>
  <w:style w:type="paragraph" w:styleId="TOC1">
    <w:name w:val="TOC 1"/>
  </w:style>
  <w:style w:type="paragraph" w:styleId="TOC2">
    <w:name w:val="TOC 2"/>
  </w:style>
  <w:style w:type="character" w:styleId="Hyperlink">
    <w:name w:val="Hyperlink"/>
    <w:rPr>
      <w:color w:val="0000FF"/>
      <w:u w:val="single"/>
    </w:rPr>
  </w:style>
</w:styles>
</file>

<file path=word/_rels/document.xml.rels>&#65279;<?xml version="1.0" encoding="utf-8"?><Relationships xmlns="http://schemas.openxmlformats.org/package/2006/relationships"><Relationship Type="http://schemas.openxmlformats.org/officeDocument/2006/relationships/settings" Target="/word/settings.xml" Id="Rb14a789be64842dc" /><Relationship Type="http://schemas.openxmlformats.org/officeDocument/2006/relationships/styles" Target="/word/styles.xml" Id="Rc3dea41f9e6f49f0" /><Relationship Type="http://schemas.openxmlformats.org/officeDocument/2006/relationships/footer" Target="/word/footer1.xml" Id="R946aa9e45f99437b" /></Relationships>
</file>

<file path=docProps/app.xml><?xml version="1.0" encoding="utf-8"?>
<ap:Properties xmlns:vt="http://schemas.openxmlformats.org/officeDocument/2006/docPropsVTypes" xmlns:ap="http://schemas.openxmlformats.org/officeDocument/2006/extended-properties">
  <ap:TotalTime>321</ap:TotalTime>
  <ap:Application>Microsoft Office Word</ap:Application>
</ap:Properties>
</file>